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266" w:rsidRDefault="00051266" w:rsidP="00E639B3">
      <w:pPr>
        <w:pStyle w:val="Title"/>
        <w:spacing w:after="120"/>
        <w:rPr>
          <w:sz w:val="48"/>
        </w:rPr>
      </w:pPr>
      <w:bookmarkStart w:id="0" w:name="_GoBack"/>
      <w:bookmarkEnd w:id="0"/>
    </w:p>
    <w:p w:rsidR="00051266" w:rsidRPr="00BE342E" w:rsidRDefault="00051266" w:rsidP="00E639B3">
      <w:pPr>
        <w:pStyle w:val="Title"/>
        <w:spacing w:after="120"/>
        <w:rPr>
          <w:sz w:val="28"/>
        </w:rPr>
      </w:pPr>
    </w:p>
    <w:p w:rsidR="00D76952" w:rsidRDefault="00D76952" w:rsidP="00E639B3">
      <w:pPr>
        <w:pStyle w:val="Title"/>
        <w:spacing w:after="120"/>
        <w:rPr>
          <w:sz w:val="48"/>
        </w:rPr>
      </w:pPr>
    </w:p>
    <w:p w:rsidR="00D76952" w:rsidRDefault="00D76952" w:rsidP="00D76952">
      <w:pPr>
        <w:pStyle w:val="Title"/>
        <w:spacing w:after="120"/>
        <w:rPr>
          <w:sz w:val="48"/>
        </w:rPr>
      </w:pPr>
    </w:p>
    <w:p w:rsidR="00D76952" w:rsidRDefault="004B361F" w:rsidP="00D76952">
      <w:pPr>
        <w:pStyle w:val="Title"/>
        <w:spacing w:after="120"/>
        <w:rPr>
          <w:color w:val="F50000" w:themeColor="accent6"/>
        </w:rPr>
      </w:pPr>
      <w:r>
        <w:rPr>
          <w:sz w:val="48"/>
        </w:rPr>
        <w:t>Savings Calculations</w:t>
      </w:r>
      <w:r w:rsidR="00C1788D" w:rsidRPr="00221B60">
        <w:rPr>
          <w:sz w:val="48"/>
        </w:rPr>
        <w:t xml:space="preserve"> for</w:t>
      </w:r>
      <w:r w:rsidR="00C1788D">
        <w:rPr>
          <w:sz w:val="48"/>
        </w:rPr>
        <w:t xml:space="preserve"> </w:t>
      </w:r>
      <w:r w:rsidR="00221B60">
        <w:rPr>
          <w:sz w:val="48"/>
        </w:rPr>
        <w:t xml:space="preserve">Commercial </w:t>
      </w:r>
      <w:r w:rsidR="009F2D33">
        <w:rPr>
          <w:sz w:val="48"/>
        </w:rPr>
        <w:t>Showerhead</w:t>
      </w:r>
    </w:p>
    <w:p w:rsidR="00D76952" w:rsidRDefault="00E2488F" w:rsidP="00D76952">
      <w:pPr>
        <w:pStyle w:val="ACoverDate"/>
        <w:rPr>
          <w:rStyle w:val="1-CoverReportDetailsTitleChar"/>
        </w:rPr>
      </w:pPr>
      <w:r>
        <w:rPr>
          <w:rStyle w:val="1-CoverReportDetailsTitleChar"/>
        </w:rPr>
        <w:t>Baseline Water and Gas Consumption Estimates for Commercial Hot Water Applications</w:t>
      </w:r>
    </w:p>
    <w:p w:rsidR="00D76952" w:rsidRPr="002E33E6" w:rsidRDefault="00D76952" w:rsidP="00D76952">
      <w:pPr>
        <w:pStyle w:val="ACoverDate"/>
        <w:rPr>
          <w:rStyle w:val="1-CoverReportDetailsTitleChar"/>
          <w:b w:val="0"/>
        </w:rPr>
      </w:pPr>
      <w:r w:rsidRPr="002E33E6">
        <w:rPr>
          <w:rStyle w:val="1-CoverReportDetailsTitleChar"/>
          <w:b w:val="0"/>
        </w:rPr>
        <w:t>Prepared by, CLEAResult</w:t>
      </w:r>
    </w:p>
    <w:p w:rsidR="002E33E6" w:rsidRDefault="001F7360" w:rsidP="00D76952">
      <w:pPr>
        <w:pStyle w:val="ACoverDate"/>
        <w:rPr>
          <w:rStyle w:val="1-CoverReportDetailsTitleChar"/>
          <w:b w:val="0"/>
        </w:rPr>
      </w:pPr>
      <w:r>
        <w:rPr>
          <w:rStyle w:val="1-CoverReportDetailsTitleChar"/>
          <w:b w:val="0"/>
        </w:rPr>
        <w:t>March 2016</w:t>
      </w:r>
    </w:p>
    <w:p w:rsidR="00221B60" w:rsidRPr="002E33E6" w:rsidRDefault="00221B60" w:rsidP="00D76952">
      <w:pPr>
        <w:pStyle w:val="ACoverDate"/>
        <w:rPr>
          <w:b/>
          <w:color w:val="F50000" w:themeColor="accent6"/>
          <w:szCs w:val="22"/>
        </w:rPr>
      </w:pPr>
    </w:p>
    <w:p w:rsidR="002E33E6" w:rsidRPr="00E639B3" w:rsidRDefault="002E33E6" w:rsidP="00E639B3">
      <w:pPr>
        <w:pStyle w:val="ACoverDate"/>
        <w:rPr>
          <w:color w:val="F50000" w:themeColor="accent6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5E28EA" wp14:editId="3612DC39">
                <wp:simplePos x="0" y="0"/>
                <wp:positionH relativeFrom="margin">
                  <wp:align>center</wp:align>
                </wp:positionH>
                <wp:positionV relativeFrom="paragraph">
                  <wp:posOffset>200660</wp:posOffset>
                </wp:positionV>
                <wp:extent cx="6418580" cy="0"/>
                <wp:effectExtent l="0" t="0" r="2032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858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7299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1" o:spid="_x0000_s1026" style="position:absolute;z-index:25167257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15.8pt" to="505.4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" strokecolor="#007299" strokeweight="2pt">
                <w10:wrap anchorx="margin"/>
              </v:line>
            </w:pict>
          </mc:Fallback>
        </mc:AlternateContent>
      </w:r>
    </w:p>
    <w:p w:rsidR="00D82C2C" w:rsidRPr="007C7C9C" w:rsidRDefault="00D82C2C" w:rsidP="00130239">
      <w:pPr>
        <w:pStyle w:val="ACoverDate"/>
        <w:rPr>
          <w:color w:val="F50000" w:themeColor="accent6"/>
          <w:sz w:val="18"/>
          <w:szCs w:val="22"/>
        </w:rPr>
      </w:pPr>
    </w:p>
    <w:p w:rsidR="008F1FEE" w:rsidRDefault="008F1FEE" w:rsidP="00D76952">
      <w:pPr>
        <w:pStyle w:val="Heading1"/>
      </w:pPr>
      <w:r>
        <w:t>Measure Characteristic Summary</w:t>
      </w:r>
    </w:p>
    <w:tbl>
      <w:tblPr>
        <w:tblStyle w:val="LightList-Accent2"/>
        <w:tblW w:w="0" w:type="auto"/>
        <w:jc w:val="center"/>
        <w:tblBorders>
          <w:insideH w:val="single" w:sz="8" w:space="0" w:color="007299" w:themeColor="accent2"/>
          <w:insideV w:val="single" w:sz="8" w:space="0" w:color="007299" w:themeColor="accent2"/>
        </w:tblBorders>
        <w:tblLook w:val="04A0" w:firstRow="1" w:lastRow="0" w:firstColumn="1" w:lastColumn="0" w:noHBand="0" w:noVBand="1"/>
      </w:tblPr>
      <w:tblGrid>
        <w:gridCol w:w="3888"/>
        <w:gridCol w:w="6408"/>
      </w:tblGrid>
      <w:tr w:rsidR="008F1FEE" w:rsidTr="00221B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vAlign w:val="center"/>
          </w:tcPr>
          <w:p w:rsidR="008F1FEE" w:rsidRPr="00624F3D" w:rsidRDefault="008F1FEE" w:rsidP="00221B60">
            <w:pPr>
              <w:spacing w:before="0"/>
              <w:rPr>
                <w:sz w:val="22"/>
                <w:lang w:val="en"/>
              </w:rPr>
            </w:pPr>
            <w:r w:rsidRPr="00624F3D">
              <w:rPr>
                <w:sz w:val="22"/>
                <w:lang w:val="en"/>
              </w:rPr>
              <w:t>Characteristic</w:t>
            </w:r>
          </w:p>
        </w:tc>
        <w:tc>
          <w:tcPr>
            <w:tcW w:w="6408" w:type="dxa"/>
            <w:vAlign w:val="center"/>
          </w:tcPr>
          <w:p w:rsidR="008F1FEE" w:rsidRPr="00624F3D" w:rsidRDefault="008F1FEE" w:rsidP="00221B6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624F3D">
              <w:rPr>
                <w:sz w:val="22"/>
              </w:rPr>
              <w:t>Description</w:t>
            </w:r>
          </w:p>
        </w:tc>
      </w:tr>
      <w:tr w:rsidR="00221B60" w:rsidTr="00221B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vAlign w:val="center"/>
          </w:tcPr>
          <w:p w:rsidR="00221B60" w:rsidRPr="00E639B3" w:rsidRDefault="00221B60" w:rsidP="00221B60">
            <w:pPr>
              <w:spacing w:before="0"/>
              <w:rPr>
                <w:lang w:val="en"/>
              </w:rPr>
            </w:pPr>
            <w:r>
              <w:rPr>
                <w:b w:val="0"/>
                <w:lang w:val="en"/>
              </w:rPr>
              <w:t>Measure</w:t>
            </w:r>
          </w:p>
        </w:tc>
        <w:tc>
          <w:tcPr>
            <w:tcW w:w="6408" w:type="dxa"/>
            <w:vAlign w:val="center"/>
          </w:tcPr>
          <w:p w:rsidR="00221B60" w:rsidRDefault="00221B60" w:rsidP="009F2D33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="Arial"/>
              </w:rPr>
              <w:t xml:space="preserve">Installation of low-flow </w:t>
            </w:r>
            <w:r w:rsidR="009F2D33">
              <w:rPr>
                <w:rFonts w:cs="Arial"/>
              </w:rPr>
              <w:t>showerheads</w:t>
            </w:r>
            <w:r>
              <w:rPr>
                <w:rFonts w:cs="Arial"/>
              </w:rPr>
              <w:t xml:space="preserve"> in  commercial facilities to reduce water use and save energy associated with water heating</w:t>
            </w:r>
          </w:p>
        </w:tc>
      </w:tr>
      <w:tr w:rsidR="00221B60" w:rsidTr="00221B60">
        <w:trPr>
          <w:trHeight w:val="5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vAlign w:val="center"/>
          </w:tcPr>
          <w:p w:rsidR="00221B60" w:rsidRPr="00E639B3" w:rsidRDefault="00221B60" w:rsidP="00221B60">
            <w:pPr>
              <w:spacing w:before="0"/>
              <w:rPr>
                <w:lang w:val="en"/>
              </w:rPr>
            </w:pPr>
            <w:r>
              <w:rPr>
                <w:b w:val="0"/>
                <w:lang w:val="en"/>
              </w:rPr>
              <w:t>Market Sector</w:t>
            </w:r>
          </w:p>
        </w:tc>
        <w:tc>
          <w:tcPr>
            <w:tcW w:w="6408" w:type="dxa"/>
            <w:vAlign w:val="center"/>
          </w:tcPr>
          <w:p w:rsidR="00221B60" w:rsidRDefault="00221B60" w:rsidP="00221B6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Commercial</w:t>
            </w:r>
          </w:p>
        </w:tc>
      </w:tr>
      <w:tr w:rsidR="00221B60" w:rsidTr="00221B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vAlign w:val="center"/>
          </w:tcPr>
          <w:p w:rsidR="00221B60" w:rsidRPr="00E639B3" w:rsidRDefault="00221B60" w:rsidP="00221B60">
            <w:pPr>
              <w:spacing w:before="0"/>
              <w:rPr>
                <w:lang w:val="en"/>
              </w:rPr>
            </w:pPr>
            <w:r>
              <w:rPr>
                <w:b w:val="0"/>
                <w:lang w:val="en"/>
              </w:rPr>
              <w:t>Base Case Description</w:t>
            </w:r>
          </w:p>
        </w:tc>
        <w:tc>
          <w:tcPr>
            <w:tcW w:w="6408" w:type="dxa"/>
            <w:vAlign w:val="center"/>
          </w:tcPr>
          <w:p w:rsidR="00221B60" w:rsidRPr="00923B71" w:rsidRDefault="00221B60" w:rsidP="00221B60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Flow rate of 2.2</w:t>
            </w:r>
            <w:r w:rsidR="009F2D33">
              <w:t>5</w:t>
            </w:r>
            <w:r>
              <w:t xml:space="preserve"> GPM</w:t>
            </w:r>
            <w:r>
              <w:rPr>
                <w:vertAlign w:val="superscript"/>
              </w:rPr>
              <w:t xml:space="preserve"> </w:t>
            </w:r>
          </w:p>
        </w:tc>
      </w:tr>
      <w:tr w:rsidR="00221B60" w:rsidTr="00221B60">
        <w:trPr>
          <w:trHeight w:val="5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vAlign w:val="center"/>
          </w:tcPr>
          <w:p w:rsidR="00221B60" w:rsidRPr="00672603" w:rsidRDefault="00221B60" w:rsidP="00221B60">
            <w:pPr>
              <w:spacing w:before="0"/>
              <w:rPr>
                <w:b w:val="0"/>
                <w:lang w:val="en"/>
              </w:rPr>
            </w:pPr>
            <w:r>
              <w:rPr>
                <w:b w:val="0"/>
                <w:lang w:val="en"/>
              </w:rPr>
              <w:t>Efficient Case Description</w:t>
            </w:r>
          </w:p>
        </w:tc>
        <w:tc>
          <w:tcPr>
            <w:tcW w:w="6408" w:type="dxa"/>
            <w:vAlign w:val="center"/>
          </w:tcPr>
          <w:p w:rsidR="00221B60" w:rsidRDefault="009F2D33" w:rsidP="00221B6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 w:rsidR="00221B60">
              <w:t>.5 GPM</w:t>
            </w:r>
          </w:p>
        </w:tc>
      </w:tr>
      <w:tr w:rsidR="00CF333B" w:rsidTr="00221B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8" w:type="dxa"/>
            <w:vAlign w:val="center"/>
          </w:tcPr>
          <w:p w:rsidR="00CF333B" w:rsidRPr="00CF333B" w:rsidRDefault="00CF333B" w:rsidP="00221B60">
            <w:pPr>
              <w:spacing w:before="0"/>
              <w:rPr>
                <w:b w:val="0"/>
                <w:lang w:val="en"/>
              </w:rPr>
            </w:pPr>
            <w:r w:rsidRPr="00CF333B">
              <w:rPr>
                <w:b w:val="0"/>
                <w:lang w:val="en"/>
              </w:rPr>
              <w:t>Material Cost</w:t>
            </w:r>
          </w:p>
        </w:tc>
        <w:tc>
          <w:tcPr>
            <w:tcW w:w="6408" w:type="dxa"/>
            <w:vAlign w:val="center"/>
          </w:tcPr>
          <w:p w:rsidR="00CF333B" w:rsidRDefault="00CF333B" w:rsidP="00221B60">
            <w:p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$10</w:t>
            </w:r>
          </w:p>
        </w:tc>
      </w:tr>
    </w:tbl>
    <w:p w:rsidR="00D00BD9" w:rsidRDefault="00D00BD9">
      <w:pPr>
        <w:spacing w:before="0" w:after="200"/>
        <w:rPr>
          <w:rFonts w:eastAsiaTheme="majorEastAsia" w:cstheme="majorBidi"/>
          <w:b/>
          <w:bCs/>
          <w:color w:val="054B56"/>
          <w:sz w:val="32"/>
          <w:szCs w:val="28"/>
        </w:rPr>
      </w:pPr>
    </w:p>
    <w:p w:rsidR="00801EF7" w:rsidRDefault="00801EF7">
      <w:pPr>
        <w:spacing w:before="0" w:after="200"/>
        <w:rPr>
          <w:rFonts w:eastAsiaTheme="majorEastAsia" w:cstheme="majorBidi"/>
          <w:b/>
          <w:bCs/>
          <w:color w:val="054B56"/>
          <w:sz w:val="32"/>
          <w:szCs w:val="28"/>
        </w:rPr>
      </w:pPr>
      <w:r>
        <w:br w:type="page"/>
      </w:r>
    </w:p>
    <w:p w:rsidR="00D76952" w:rsidRDefault="00D76952" w:rsidP="00D76952">
      <w:pPr>
        <w:pStyle w:val="Heading1"/>
      </w:pPr>
      <w:r>
        <w:lastRenderedPageBreak/>
        <w:t>Measure Description</w:t>
      </w:r>
    </w:p>
    <w:p w:rsidR="00221B60" w:rsidRDefault="00221B60" w:rsidP="00221B60">
      <w:pPr>
        <w:rPr>
          <w:rFonts w:cs="Arial"/>
        </w:rPr>
      </w:pPr>
      <w:r>
        <w:rPr>
          <w:rFonts w:cs="Arial"/>
        </w:rPr>
        <w:t xml:space="preserve">This measure consists of installation of low-flow </w:t>
      </w:r>
      <w:r w:rsidR="009F2D33">
        <w:rPr>
          <w:rFonts w:cs="Arial"/>
        </w:rPr>
        <w:t xml:space="preserve">showerheads </w:t>
      </w:r>
      <w:r>
        <w:rPr>
          <w:rFonts w:cs="Arial"/>
        </w:rPr>
        <w:t>in commercial facilities to reduce water use and save energy associated with water heating.</w:t>
      </w:r>
      <w:r w:rsidR="004B361F">
        <w:rPr>
          <w:rFonts w:cs="Arial"/>
        </w:rPr>
        <w:t xml:space="preserve"> To qualify for this measure, the flow rate of replacement</w:t>
      </w:r>
      <w:r>
        <w:rPr>
          <w:rFonts w:cs="Arial"/>
        </w:rPr>
        <w:t xml:space="preserve"> low-flow </w:t>
      </w:r>
      <w:r w:rsidR="009F2D33">
        <w:rPr>
          <w:rFonts w:cs="Arial"/>
        </w:rPr>
        <w:t>showerhead</w:t>
      </w:r>
      <w:r>
        <w:rPr>
          <w:rFonts w:cs="Arial"/>
        </w:rPr>
        <w:t>s must</w:t>
      </w:r>
      <w:r w:rsidR="00E2488F">
        <w:rPr>
          <w:rFonts w:cs="Arial"/>
        </w:rPr>
        <w:t xml:space="preserve"> be rated at </w:t>
      </w:r>
      <w:r w:rsidR="009F2D33">
        <w:rPr>
          <w:rFonts w:cs="Arial"/>
        </w:rPr>
        <w:t>1</w:t>
      </w:r>
      <w:r w:rsidR="00E2488F">
        <w:rPr>
          <w:rFonts w:cs="Arial"/>
        </w:rPr>
        <w:t>.5 gallons per minute or less.</w:t>
      </w:r>
      <w:r>
        <w:rPr>
          <w:rFonts w:cs="Arial"/>
        </w:rPr>
        <w:t xml:space="preserve"> </w:t>
      </w:r>
    </w:p>
    <w:p w:rsidR="00221B60" w:rsidRDefault="00221B60" w:rsidP="00221B60">
      <w:pPr>
        <w:pStyle w:val="Heading2"/>
      </w:pPr>
      <w:r>
        <w:t>Efficiency Improvement</w:t>
      </w:r>
    </w:p>
    <w:p w:rsidR="00221B60" w:rsidRDefault="00221B60" w:rsidP="00221B60">
      <w:pPr>
        <w:rPr>
          <w:rFonts w:cs="Arial"/>
        </w:rPr>
      </w:pPr>
      <w:r>
        <w:rPr>
          <w:rFonts w:cs="Arial"/>
        </w:rPr>
        <w:t xml:space="preserve">The savings values are determined for the retrofit of existing operational </w:t>
      </w:r>
      <w:r w:rsidR="009F2D33">
        <w:rPr>
          <w:rFonts w:cs="Arial"/>
        </w:rPr>
        <w:t>showerhead</w:t>
      </w:r>
      <w:r>
        <w:rPr>
          <w:rFonts w:cs="Arial"/>
        </w:rPr>
        <w:t>s with a</w:t>
      </w:r>
      <w:r w:rsidR="00BC1B5F">
        <w:rPr>
          <w:rFonts w:cs="Arial"/>
        </w:rPr>
        <w:t>n average</w:t>
      </w:r>
      <w:r>
        <w:rPr>
          <w:rFonts w:cs="Arial"/>
        </w:rPr>
        <w:t xml:space="preserve"> flow rate </w:t>
      </w:r>
      <w:r w:rsidR="004B361F">
        <w:rPr>
          <w:rFonts w:cs="Arial"/>
        </w:rPr>
        <w:t>of</w:t>
      </w:r>
      <w:r>
        <w:rPr>
          <w:rFonts w:cs="Arial"/>
        </w:rPr>
        <w:t xml:space="preserve"> 2.</w:t>
      </w:r>
      <w:r w:rsidR="00BC1B5F">
        <w:rPr>
          <w:rFonts w:cs="Arial"/>
        </w:rPr>
        <w:t>25</w:t>
      </w:r>
      <w:r>
        <w:rPr>
          <w:rFonts w:cs="Arial"/>
        </w:rPr>
        <w:t xml:space="preserve"> gallons per minu</w:t>
      </w:r>
      <w:r w:rsidR="00BC1B5F">
        <w:rPr>
          <w:rFonts w:cs="Arial"/>
        </w:rPr>
        <w:t>te</w:t>
      </w:r>
      <w:r>
        <w:rPr>
          <w:rFonts w:cs="Arial"/>
        </w:rPr>
        <w:t xml:space="preserve"> with low-flow </w:t>
      </w:r>
      <w:r w:rsidR="009F2D33">
        <w:rPr>
          <w:rFonts w:cs="Arial"/>
        </w:rPr>
        <w:t>showerhead</w:t>
      </w:r>
      <w:r>
        <w:rPr>
          <w:rFonts w:cs="Arial"/>
        </w:rPr>
        <w:t xml:space="preserve">s with a flow rate of </w:t>
      </w:r>
      <w:r w:rsidR="009F2D33">
        <w:rPr>
          <w:rFonts w:cs="Arial"/>
        </w:rPr>
        <w:t>1</w:t>
      </w:r>
      <w:r>
        <w:rPr>
          <w:rFonts w:cs="Arial"/>
        </w:rPr>
        <w:t>.5 gallons per minute.</w:t>
      </w:r>
      <w:r w:rsidR="00E2488F">
        <w:rPr>
          <w:rFonts w:cs="Arial"/>
        </w:rPr>
        <w:t xml:space="preserve"> Facilities that use gas </w:t>
      </w:r>
      <w:r>
        <w:rPr>
          <w:rFonts w:cs="Arial"/>
        </w:rPr>
        <w:t xml:space="preserve">water heaters are eligible for this measure. </w:t>
      </w:r>
    </w:p>
    <w:p w:rsidR="00D76952" w:rsidRDefault="00E2488F" w:rsidP="00D76952">
      <w:pPr>
        <w:pStyle w:val="Heading1"/>
      </w:pPr>
      <w:r>
        <w:t>Calculation Methodologies</w:t>
      </w:r>
    </w:p>
    <w:p w:rsidR="001143F8" w:rsidRDefault="00D01024" w:rsidP="00F5621C">
      <w:r>
        <w:t xml:space="preserve">In our review of studies related to the consumption of water from </w:t>
      </w:r>
      <w:r w:rsidR="009F2D33">
        <w:t>shower</w:t>
      </w:r>
      <w:r>
        <w:t xml:space="preserve">s in commercial buildings, we were not able to find direct information concerning hot water consumption.  </w:t>
      </w:r>
      <w:r w:rsidR="00E2488F">
        <w:t xml:space="preserve">Multiple studies were reviewed to </w:t>
      </w:r>
      <w:r w:rsidR="001F7360">
        <w:t xml:space="preserve">find data that </w:t>
      </w:r>
      <w:r w:rsidR="00B36F77">
        <w:t>was</w:t>
      </w:r>
      <w:r w:rsidR="001F7360">
        <w:t xml:space="preserve"> utilized to </w:t>
      </w:r>
      <w:r w:rsidR="00E2488F">
        <w:t>determine baseline consumption of water and natural gas in applications using</w:t>
      </w:r>
      <w:r w:rsidR="00E57B2D">
        <w:t xml:space="preserve"> </w:t>
      </w:r>
      <w:r w:rsidR="009F2D33">
        <w:t>hot water in</w:t>
      </w:r>
      <w:r w:rsidR="00E57B2D">
        <w:t xml:space="preserve"> </w:t>
      </w:r>
      <w:r w:rsidR="009F2D33">
        <w:t>shower</w:t>
      </w:r>
      <w:r w:rsidR="00B36F77">
        <w:t>s.</w:t>
      </w:r>
    </w:p>
    <w:p w:rsidR="006B2699" w:rsidRDefault="0083567D" w:rsidP="006B2699">
      <w:pPr>
        <w:pStyle w:val="Heading2"/>
      </w:pPr>
      <w:r>
        <w:t xml:space="preserve">Water </w:t>
      </w:r>
      <w:r w:rsidR="006B2699">
        <w:t>Consumption calculations</w:t>
      </w:r>
    </w:p>
    <w:p w:rsidR="006B2699" w:rsidRDefault="006B2699" w:rsidP="006B2699">
      <w:r>
        <w:t>The water and gas consumption calculations for this measure were developed based on standard engineering methodologies.</w:t>
      </w:r>
      <w:r w:rsidRPr="001F7360">
        <w:t xml:space="preserve"> </w:t>
      </w:r>
      <w:r>
        <w:t xml:space="preserve">Data from </w:t>
      </w:r>
      <w:r w:rsidR="00345EA9">
        <w:t xml:space="preserve">water conservation programs, </w:t>
      </w:r>
      <w:r>
        <w:t>published studies</w:t>
      </w:r>
      <w:r w:rsidR="00345EA9">
        <w:t>,</w:t>
      </w:r>
      <w:r>
        <w:t xml:space="preserve"> and assumptions provided in statewide technical reference manuals were utilized to calculate the average consumption of water per </w:t>
      </w:r>
      <w:r w:rsidR="009F2D33">
        <w:t>shower</w:t>
      </w:r>
      <w:r>
        <w:t xml:space="preserve"> per year.  </w:t>
      </w:r>
      <w:r w:rsidR="00345EA9">
        <w:t xml:space="preserve">Flow rates were found at existing fixtures </w:t>
      </w:r>
      <w:r w:rsidR="007F14CC">
        <w:t>up</w:t>
      </w:r>
      <w:r w:rsidR="00345EA9">
        <w:t xml:space="preserve"> to 3.5 GPM</w:t>
      </w:r>
      <w:r w:rsidR="007F14CC">
        <w:rPr>
          <w:rStyle w:val="EndnoteReference"/>
        </w:rPr>
        <w:endnoteReference w:id="2"/>
      </w:r>
      <w:r w:rsidR="00345EA9">
        <w:t>.</w:t>
      </w:r>
    </w:p>
    <w:p w:rsidR="001F7360" w:rsidRPr="001F7360" w:rsidRDefault="00F5621C" w:rsidP="006B2699">
      <w:pPr>
        <w:pStyle w:val="Heading2"/>
      </w:pPr>
      <w:r>
        <w:t>Hospitality Calculation</w:t>
      </w:r>
      <w:r w:rsidR="009F2D33">
        <w:t xml:space="preserve"> 1</w:t>
      </w:r>
      <w:r w:rsidR="001F7360" w:rsidRPr="001F7360">
        <w:t>:</w:t>
      </w:r>
    </w:p>
    <w:p w:rsidR="009F2D33" w:rsidRDefault="009F2D33" w:rsidP="009F2D33">
      <w:r>
        <w:t xml:space="preserve">Data were utilized to determine the average water consumption from showers in individual hotel rooms.  Water consumption in five hotels was metered over a short-term period at either a whole-building level or sub-metered by room and then disaggregated to determine consumption at multiple end uses.  The data was extrapolated to show annual end use consumption. For the purpose of these calculations, </w:t>
      </w:r>
      <w:r w:rsidR="00B36F77">
        <w:t xml:space="preserve">one shower is assumed to be located in </w:t>
      </w:r>
      <w:r>
        <w:t xml:space="preserve">each room.  </w:t>
      </w:r>
    </w:p>
    <w:p w:rsidR="009F2D33" w:rsidRDefault="009F2D33" w:rsidP="009F2D33">
      <w:r>
        <w:t>Data from the study are summarized for showers below</w:t>
      </w:r>
      <w:r>
        <w:rPr>
          <w:rStyle w:val="EndnoteReference"/>
        </w:rPr>
        <w:endnoteReference w:id="3"/>
      </w:r>
      <w:r>
        <w:t>.</w:t>
      </w:r>
    </w:p>
    <w:p w:rsidR="009F2D33" w:rsidRDefault="009F2D33" w:rsidP="009F2D33"/>
    <w:p w:rsidR="009F2D33" w:rsidRDefault="009F2D33" w:rsidP="009F2D33">
      <w:pPr>
        <w:pStyle w:val="Caption"/>
      </w:pPr>
      <w:r>
        <w:t xml:space="preserve">Table </w:t>
      </w:r>
      <w:fldSimple w:instr=" SEQ Table \* ARABIC ">
        <w:r w:rsidR="00CF333B">
          <w:rPr>
            <w:noProof/>
          </w:rPr>
          <w:t>1</w:t>
        </w:r>
      </w:fldSimple>
      <w:r>
        <w:t xml:space="preserve"> – </w:t>
      </w:r>
      <w:r w:rsidR="001A18EA">
        <w:t>Hospitality</w:t>
      </w:r>
      <w:r>
        <w:t xml:space="preserve"> Calculation Data </w:t>
      </w:r>
    </w:p>
    <w:tbl>
      <w:tblPr>
        <w:tblW w:w="9810" w:type="dxa"/>
        <w:tblInd w:w="108" w:type="dxa"/>
        <w:tblLook w:val="04A0" w:firstRow="1" w:lastRow="0" w:firstColumn="1" w:lastColumn="0" w:noHBand="0" w:noVBand="1"/>
      </w:tblPr>
      <w:tblGrid>
        <w:gridCol w:w="3060"/>
        <w:gridCol w:w="976"/>
        <w:gridCol w:w="976"/>
        <w:gridCol w:w="1053"/>
        <w:gridCol w:w="1053"/>
        <w:gridCol w:w="1346"/>
        <w:gridCol w:w="1346"/>
      </w:tblGrid>
      <w:tr w:rsidR="009F2D33" w:rsidRPr="00D01024" w:rsidTr="00AD1207">
        <w:trPr>
          <w:trHeight w:val="31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54B56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Hotel 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54B56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Hotel 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54B56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Hotel 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54B56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Hotel 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54B56"/>
            <w:vAlign w:val="bottom"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Hotel 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54B56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Total or Weighted Average</w:t>
            </w:r>
          </w:p>
        </w:tc>
      </w:tr>
      <w:tr w:rsidR="009F2D33" w:rsidRPr="00D01024" w:rsidTr="00AD1207">
        <w:trPr>
          <w:trHeight w:val="600"/>
        </w:trPr>
        <w:tc>
          <w:tcPr>
            <w:tcW w:w="3060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000000" w:fill="054B56"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Total annual metered shower water consumption from five hotels (gallons)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1510000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4803000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1921000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1842000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F2D33" w:rsidRPr="00287C29" w:rsidRDefault="009F2D33" w:rsidP="00AD1207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1655000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11731000</w:t>
            </w:r>
          </w:p>
        </w:tc>
      </w:tr>
      <w:tr w:rsidR="009F2D33" w:rsidRPr="00D01024" w:rsidTr="00AD1207">
        <w:trPr>
          <w:trHeight w:val="300"/>
        </w:trPr>
        <w:tc>
          <w:tcPr>
            <w:tcW w:w="306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000000" w:fill="054B56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 xml:space="preserve">Occupancy rate during testing </w:t>
            </w:r>
            <w:r w:rsidRPr="00287C29">
              <w:rPr>
                <w:rFonts w:ascii="Calibri" w:eastAsia="Times New Roman" w:hAnsi="Calibri" w:cs="Times New Roman"/>
                <w:bCs/>
                <w:color w:val="FFFFFF"/>
                <w:sz w:val="20"/>
                <w:szCs w:val="20"/>
              </w:rPr>
              <w:t>(</w:t>
            </w: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OccRate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wtd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)</m:t>
              </m:r>
            </m:oMath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0.82</w:t>
            </w:r>
          </w:p>
        </w:tc>
      </w:tr>
      <w:tr w:rsidR="009F2D33" w:rsidRPr="00D01024" w:rsidTr="00AD1207">
        <w:trPr>
          <w:trHeight w:val="300"/>
        </w:trPr>
        <w:tc>
          <w:tcPr>
            <w:tcW w:w="306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</w:tcBorders>
            <w:shd w:val="clear" w:color="000000" w:fill="054B56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 xml:space="preserve">Occupants Per Room </w:t>
            </w:r>
            <w:r w:rsidRPr="00287C29">
              <w:rPr>
                <w:rFonts w:ascii="Calibri" w:eastAsia="Times New Roman" w:hAnsi="Calibri" w:cs="Times New Roman"/>
                <w:bCs/>
                <w:color w:val="FFFFFF"/>
                <w:sz w:val="20"/>
                <w:szCs w:val="2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O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ccPerRoom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wtd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)</m:t>
              </m:r>
            </m:oMath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1.87</w:t>
            </w:r>
          </w:p>
        </w:tc>
      </w:tr>
      <w:tr w:rsidR="009F2D33" w:rsidRPr="00D01024" w:rsidTr="00AD1207">
        <w:trPr>
          <w:trHeight w:val="300"/>
        </w:trPr>
        <w:tc>
          <w:tcPr>
            <w:tcW w:w="306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000000" w:fill="054B56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Total number of showers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961</w:t>
            </w:r>
          </w:p>
        </w:tc>
      </w:tr>
    </w:tbl>
    <w:p w:rsidR="009F2D33" w:rsidRDefault="009F2D33" w:rsidP="009F2D33"/>
    <w:p w:rsidR="009F2D33" w:rsidRDefault="009F2D33" w:rsidP="009F2D33">
      <w:r>
        <w:t>The average water consumption for individual showers was calculated at</w:t>
      </w:r>
    </w:p>
    <w:p w:rsidR="009F2D33" w:rsidRDefault="009F2D33" w:rsidP="009F2D33">
      <w:pPr>
        <w:pStyle w:val="Caption"/>
      </w:pPr>
      <w:r>
        <w:lastRenderedPageBreak/>
        <w:t xml:space="preserve">Equation </w:t>
      </w:r>
      <w:fldSimple w:instr=" SEQ Equation \* ARABIC ">
        <w:r w:rsidR="00EF4B1B">
          <w:rPr>
            <w:noProof/>
          </w:rPr>
          <w:t>1</w:t>
        </w:r>
      </w:fldSimple>
    </w:p>
    <w:p w:rsidR="009F2D33" w:rsidRPr="007A46A3" w:rsidRDefault="00B36F77" w:rsidP="009F2D33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12,207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Gallons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Year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11.731,000 Gallons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961 Showers</m:t>
              </m:r>
            </m:den>
          </m:f>
        </m:oMath>
      </m:oMathPara>
    </w:p>
    <w:p w:rsidR="009F2D33" w:rsidRPr="007A46A3" w:rsidRDefault="009F2D33" w:rsidP="009F2D33">
      <w:pPr>
        <w:rPr>
          <w:rFonts w:eastAsiaTheme="minorEastAsia"/>
        </w:rPr>
      </w:pPr>
    </w:p>
    <w:p w:rsidR="009F2D33" w:rsidRDefault="009F2D33" w:rsidP="009F2D33">
      <w:r>
        <w:t xml:space="preserve">As occupancy rates and occupants per room vary, the data from the study were normalized using the weighted occupancy rate during testing and occupants per room to determine the </w:t>
      </w:r>
      <w:r w:rsidR="00B36F77">
        <w:t xml:space="preserve">annual </w:t>
      </w:r>
      <w:r>
        <w:t>consumption per occupant (</w:t>
      </w:r>
      <w:proofErr w:type="spellStart"/>
      <w:r>
        <w:t>U</w:t>
      </w:r>
      <w:r w:rsidRPr="00142079">
        <w:rPr>
          <w:vertAlign w:val="subscript"/>
        </w:rPr>
        <w:t>HospOcc</w:t>
      </w:r>
      <w:proofErr w:type="spellEnd"/>
      <w:r>
        <w:t xml:space="preserve">).  </w:t>
      </w:r>
    </w:p>
    <w:p w:rsidR="009F2D33" w:rsidRDefault="009F2D33" w:rsidP="009F2D33"/>
    <w:p w:rsidR="009F2D33" w:rsidRPr="009F2D33" w:rsidRDefault="009F2D33" w:rsidP="009F2D33">
      <w:pPr>
        <w:pStyle w:val="Caption"/>
      </w:pPr>
      <w:r>
        <w:t xml:space="preserve">Equation </w:t>
      </w:r>
      <w:fldSimple w:instr=" SEQ Equation \* ARABIC ">
        <w:r w:rsidR="00EF4B1B">
          <w:rPr>
            <w:noProof/>
          </w:rPr>
          <w:t>2</w:t>
        </w:r>
      </w:fldSimple>
    </w:p>
    <w:p w:rsidR="009F2D33" w:rsidRPr="009F2D33" w:rsidRDefault="009F2D33" w:rsidP="009F2D33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Annual Water Consumption Per Occupant=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Per Shower Consumption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avg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OccRate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wtd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 xml:space="preserve"> ×O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ccPerRoom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wtd</m:t>
                  </m:r>
                </m:sub>
              </m:sSub>
            </m:den>
          </m:f>
        </m:oMath>
      </m:oMathPara>
    </w:p>
    <w:p w:rsidR="009F2D33" w:rsidRPr="00460A3B" w:rsidRDefault="009F2D33" w:rsidP="009F2D33">
      <w:pPr>
        <w:rPr>
          <w:rFonts w:eastAsiaTheme="minorEastAsia"/>
        </w:rPr>
      </w:pPr>
    </w:p>
    <w:p w:rsidR="009F2D33" w:rsidRPr="007A46A3" w:rsidRDefault="009F2D33" w:rsidP="009F2D33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7938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Gallons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Occupant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12,207 Gallons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0.82×1.87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Occupant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Room</m:t>
                  </m:r>
                </m:den>
              </m:f>
            </m:den>
          </m:f>
        </m:oMath>
      </m:oMathPara>
    </w:p>
    <w:p w:rsidR="009F2D33" w:rsidRDefault="009F2D33" w:rsidP="009F2D33"/>
    <w:p w:rsidR="009F2D33" w:rsidRDefault="009F2D33" w:rsidP="009F2D33">
      <w:r>
        <w:t xml:space="preserve">Additional data were utilized to account for regional average of occupancy rate and national average of occupants per room to find the </w:t>
      </w:r>
      <w:r w:rsidR="007D324E">
        <w:t xml:space="preserve">annual </w:t>
      </w:r>
      <w:r>
        <w:t>average consumption per shower.  The formula below is used to calculate the normalized annual consumption per shower (</w:t>
      </w:r>
      <w:proofErr w:type="spellStart"/>
      <w:r>
        <w:t>U</w:t>
      </w:r>
      <w:r w:rsidRPr="00142079">
        <w:rPr>
          <w:vertAlign w:val="subscript"/>
        </w:rPr>
        <w:t>Hosp</w:t>
      </w:r>
      <w:proofErr w:type="spellEnd"/>
      <w:r>
        <w:t xml:space="preserve">), assuming the number of </w:t>
      </w:r>
      <w:r w:rsidR="007D324E">
        <w:t>showers</w:t>
      </w:r>
      <w:r>
        <w:t xml:space="preserve"> identified in the study equal the number of rooms.</w:t>
      </w:r>
    </w:p>
    <w:p w:rsidR="009F2D33" w:rsidRDefault="009F2D33" w:rsidP="009F2D33"/>
    <w:p w:rsidR="009F2D33" w:rsidRPr="007A46A3" w:rsidRDefault="009F2D33" w:rsidP="009F2D33">
      <w:pPr>
        <w:rPr>
          <w:rFonts w:eastAsiaTheme="minorEastAsia"/>
        </w:rPr>
      </w:pPr>
      <w:r>
        <w:t xml:space="preserve">Table </w:t>
      </w:r>
      <w:fldSimple w:instr=" SEQ Table \* ARABIC ">
        <w:r w:rsidR="00CF333B">
          <w:rPr>
            <w:noProof/>
          </w:rPr>
          <w:t>2</w:t>
        </w:r>
      </w:fldSimple>
      <w:r>
        <w:t xml:space="preserve"> – National and Southern California Regional </w:t>
      </w:r>
      <w:r w:rsidR="00EF4B1B">
        <w:t>Hospitality</w:t>
      </w:r>
      <w:r>
        <w:t xml:space="preserve"> Occupancy Data</w:t>
      </w:r>
    </w:p>
    <w:tbl>
      <w:tblPr>
        <w:tblW w:w="7495" w:type="dxa"/>
        <w:tblInd w:w="108" w:type="dxa"/>
        <w:tblLook w:val="04A0" w:firstRow="1" w:lastRow="0" w:firstColumn="1" w:lastColumn="0" w:noHBand="0" w:noVBand="1"/>
      </w:tblPr>
      <w:tblGrid>
        <w:gridCol w:w="4950"/>
        <w:gridCol w:w="1080"/>
        <w:gridCol w:w="1465"/>
      </w:tblGrid>
      <w:tr w:rsidR="009F2D33" w:rsidRPr="00287C29" w:rsidTr="00AD1207">
        <w:trPr>
          <w:trHeight w:val="300"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ind w:right="602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Value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Units</w:t>
            </w:r>
          </w:p>
        </w:tc>
      </w:tr>
      <w:tr w:rsidR="009F2D33" w:rsidRPr="00287C29" w:rsidTr="00AD1207">
        <w:trPr>
          <w:trHeight w:val="375"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Regional Hospitality Occupancy Rate</w:t>
            </w:r>
            <w:r w:rsidRPr="00287C29">
              <w:rPr>
                <w:rStyle w:val="EndnoteReference"/>
                <w:rFonts w:ascii="Calibri" w:eastAsia="Times New Roman" w:hAnsi="Calibri"/>
                <w:b/>
                <w:bCs/>
                <w:color w:val="FFFFFF"/>
                <w:sz w:val="20"/>
                <w:szCs w:val="20"/>
              </w:rPr>
              <w:endnoteReference w:id="4"/>
            </w: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 xml:space="preserve"> (</w:t>
            </w:r>
            <w:proofErr w:type="spellStart"/>
            <w:r w:rsidRPr="00287C29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0"/>
                <w:szCs w:val="20"/>
              </w:rPr>
              <w:t>OccRate</w:t>
            </w:r>
            <w:r w:rsidRPr="00287C29">
              <w:rPr>
                <w:rFonts w:ascii="Calibri" w:eastAsia="Times New Roman" w:hAnsi="Calibri" w:cs="Times New Roman"/>
                <w:color w:val="FFFFFF" w:themeColor="background1"/>
                <w:sz w:val="20"/>
                <w:szCs w:val="20"/>
                <w:vertAlign w:val="subscript"/>
              </w:rPr>
              <w:t>Regional</w:t>
            </w:r>
            <w:proofErr w:type="spellEnd"/>
            <w:r w:rsidRPr="00287C29">
              <w:rPr>
                <w:rFonts w:ascii="Calibri" w:eastAsia="Times New Roman" w:hAnsi="Calibri" w:cs="Times New Roman"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77%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9F2D33" w:rsidRPr="00287C29" w:rsidTr="00AD1207">
        <w:trPr>
          <w:trHeight w:val="375"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noWrap/>
            <w:vAlign w:val="bottom"/>
            <w:hideMark/>
          </w:tcPr>
          <w:p w:rsidR="009F2D33" w:rsidRPr="00287C29" w:rsidRDefault="009F2D33" w:rsidP="00AD1207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 xml:space="preserve">National </w:t>
            </w:r>
            <w:r w:rsidRPr="00287C29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0"/>
                <w:szCs w:val="20"/>
              </w:rPr>
              <w:t>Hospitality A</w:t>
            </w:r>
            <w:r w:rsidRPr="00287C29">
              <w:rPr>
                <w:rFonts w:ascii="Calibri" w:eastAsia="Times New Roman" w:hAnsi="Calibri" w:cs="Times New Roman"/>
                <w:b/>
                <w:color w:val="FFFFFF" w:themeColor="background1"/>
                <w:sz w:val="20"/>
                <w:szCs w:val="20"/>
              </w:rPr>
              <w:t>verage Number of Guests per Room</w:t>
            </w:r>
            <w:r w:rsidRPr="00287C29">
              <w:rPr>
                <w:rStyle w:val="EndnoteReference"/>
                <w:rFonts w:ascii="Calibri" w:eastAsia="Times New Roman" w:hAnsi="Calibri"/>
                <w:b/>
                <w:color w:val="FFFFFF" w:themeColor="background1"/>
                <w:sz w:val="20"/>
                <w:szCs w:val="20"/>
              </w:rPr>
              <w:endnoteReference w:id="5"/>
            </w:r>
            <w:r w:rsidRPr="00287C29">
              <w:rPr>
                <w:rFonts w:ascii="Calibri" w:eastAsia="Times New Roman" w:hAnsi="Calibri" w:cs="Times New Roman"/>
                <w:color w:val="FFFFFF" w:themeColor="background1"/>
                <w:sz w:val="20"/>
                <w:szCs w:val="20"/>
              </w:rPr>
              <w:t xml:space="preserve"> (</w:t>
            </w:r>
            <w:proofErr w:type="spellStart"/>
            <w:r w:rsidRPr="00287C29">
              <w:rPr>
                <w:rFonts w:ascii="Calibri" w:eastAsia="Times New Roman" w:hAnsi="Calibri" w:cs="Times New Roman"/>
                <w:b/>
                <w:color w:val="FFFFFF" w:themeColor="background1"/>
                <w:sz w:val="20"/>
                <w:szCs w:val="20"/>
              </w:rPr>
              <w:t>OccPerRoom</w:t>
            </w:r>
            <w:r w:rsidRPr="00287C29">
              <w:rPr>
                <w:rFonts w:ascii="Calibri" w:eastAsia="Times New Roman" w:hAnsi="Calibri" w:cs="Times New Roman"/>
                <w:color w:val="FFFFFF" w:themeColor="background1"/>
                <w:sz w:val="20"/>
                <w:szCs w:val="20"/>
                <w:vertAlign w:val="subscript"/>
              </w:rPr>
              <w:t>National</w:t>
            </w:r>
            <w:proofErr w:type="spellEnd"/>
            <w:r w:rsidRPr="00287C29">
              <w:rPr>
                <w:rFonts w:ascii="Calibri" w:eastAsia="Times New Roman" w:hAnsi="Calibri" w:cs="Times New Roman"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2D33" w:rsidRPr="00287C29" w:rsidRDefault="009F2D33" w:rsidP="00AD120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guests per room</w:t>
            </w:r>
          </w:p>
        </w:tc>
      </w:tr>
    </w:tbl>
    <w:p w:rsidR="009F2D33" w:rsidRDefault="009F2D33" w:rsidP="009F2D33"/>
    <w:p w:rsidR="009F2D33" w:rsidRDefault="009F2D33" w:rsidP="009F2D33"/>
    <w:p w:rsidR="009F2D33" w:rsidRDefault="009F2D33" w:rsidP="009F2D33">
      <w:pPr>
        <w:pStyle w:val="Caption"/>
      </w:pPr>
      <w:r>
        <w:t xml:space="preserve">Equation </w:t>
      </w:r>
      <w:fldSimple w:instr=" SEQ Equation \* ARABIC ">
        <w:r w:rsidR="00EF4B1B">
          <w:rPr>
            <w:noProof/>
          </w:rPr>
          <w:t>3</w:t>
        </w:r>
      </w:fldSimple>
    </w:p>
    <w:p w:rsidR="009F2D33" w:rsidRPr="00254183" w:rsidRDefault="00EC3D01" w:rsidP="009F2D33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Hosp1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=Annual Consumption Per Occupant ×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OccRate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Region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OccPerRoom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National</m:t>
              </m:r>
            </m:sub>
          </m:sSub>
        </m:oMath>
      </m:oMathPara>
    </w:p>
    <w:p w:rsidR="009F2D33" w:rsidRPr="00BD3D79" w:rsidRDefault="009F2D33" w:rsidP="009F2D33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8581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Gallons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Shower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=7938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Gallons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Occupant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×77%×1.4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Occupant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Room</m:t>
              </m:r>
            </m:den>
          </m:f>
        </m:oMath>
      </m:oMathPara>
    </w:p>
    <w:p w:rsidR="00BD3D79" w:rsidRPr="00BD3D79" w:rsidRDefault="00BD3D79" w:rsidP="00460A3B">
      <w:pPr>
        <w:rPr>
          <w:rFonts w:eastAsiaTheme="minorEastAsia"/>
        </w:rPr>
      </w:pPr>
    </w:p>
    <w:p w:rsidR="00EF4B1B" w:rsidRPr="001F7360" w:rsidRDefault="00EF4B1B" w:rsidP="00EF4B1B">
      <w:pPr>
        <w:pStyle w:val="Heading2"/>
      </w:pPr>
      <w:r>
        <w:t>Hospitality Calculation 2</w:t>
      </w:r>
      <w:r w:rsidRPr="001F7360">
        <w:t>:</w:t>
      </w:r>
    </w:p>
    <w:p w:rsidR="00936B56" w:rsidRDefault="00EF4B1B" w:rsidP="00EF4B1B">
      <w:r>
        <w:t xml:space="preserve">Additional data were available allowing for an alternate calculation of water consumption utilizing </w:t>
      </w:r>
      <w:r w:rsidR="007D324E">
        <w:t xml:space="preserve">typical lengths of showers and </w:t>
      </w:r>
      <w:r>
        <w:t>the above occupancy data.  Using an average shower time (t)</w:t>
      </w:r>
      <w:r w:rsidR="007D324E">
        <w:t xml:space="preserve"> of </w:t>
      </w:r>
      <w:r w:rsidR="00F37265">
        <w:t>16</w:t>
      </w:r>
      <w:r>
        <w:t>.2 minutes p</w:t>
      </w:r>
      <w:r w:rsidR="00F37265">
        <w:t>er hotel room</w:t>
      </w:r>
      <w:r>
        <w:t xml:space="preserve"> per day</w:t>
      </w:r>
      <w:r w:rsidR="007F14CC">
        <w:rPr>
          <w:rStyle w:val="EndnoteReference"/>
        </w:rPr>
        <w:endnoteReference w:id="6"/>
      </w:r>
      <w:r>
        <w:t>, the following calculation is used to calculate annual water consumption:</w:t>
      </w:r>
    </w:p>
    <w:p w:rsidR="00EF4B1B" w:rsidRDefault="00EF4B1B" w:rsidP="00F8342C">
      <w:pPr>
        <w:pStyle w:val="Caption"/>
        <w:tabs>
          <w:tab w:val="left" w:pos="4553"/>
        </w:tabs>
      </w:pPr>
      <w:r>
        <w:t xml:space="preserve">Equation </w:t>
      </w:r>
      <w:fldSimple w:instr=" SEQ Equation \* ARABIC ">
        <w:r>
          <w:rPr>
            <w:noProof/>
          </w:rPr>
          <w:t>4</w:t>
        </w:r>
      </w:fldSimple>
      <w:r w:rsidR="00F8342C">
        <w:rPr>
          <w:noProof/>
        </w:rPr>
        <w:tab/>
      </w:r>
    </w:p>
    <w:p w:rsidR="00EF4B1B" w:rsidRPr="00EF4B1B" w:rsidRDefault="00EC3D01" w:rsidP="00EF4B1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Hosp2</m:t>
              </m:r>
            </m:sub>
          </m:sSub>
          <m:r>
            <w:rPr>
              <w:rFonts w:ascii="Cambria Math" w:eastAsiaTheme="minorEastAsia" w:hAnsi="Cambria Math"/>
            </w:rPr>
            <m:t>=t×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Base case</m:t>
              </m:r>
            </m:sub>
          </m:sSub>
          <m:r>
            <w:rPr>
              <w:rFonts w:ascii="Cambria Math" w:eastAsiaTheme="minorEastAsia" w:hAnsi="Cambria Math"/>
            </w:rPr>
            <m:t>×365</m:t>
          </m:r>
          <m:r>
            <m:rPr>
              <m:sty m:val="p"/>
            </m:rP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OccRate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Region</m:t>
              </m:r>
            </m:sub>
          </m:sSub>
        </m:oMath>
      </m:oMathPara>
    </w:p>
    <w:p w:rsidR="00287C29" w:rsidRDefault="00F37265" w:rsidP="00EF4B1B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10,273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Gallons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Shower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=16.2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Minutes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Room (shower)×Day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×2.25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Gallons</m:t>
              </m:r>
            </m:num>
            <m:den>
              <m:r>
                <w:rPr>
                  <w:rFonts w:ascii="Cambria Math" w:hAnsi="Cambria Math"/>
                </w:rPr>
                <m:t>Minute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 ×365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Day</m:t>
              </m:r>
            </m:num>
            <m:den>
              <m:r>
                <w:rPr>
                  <w:rFonts w:ascii="Cambria Math" w:hAnsi="Cambria Math"/>
                </w:rPr>
                <m:t>Year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×77%</m:t>
          </m:r>
        </m:oMath>
      </m:oMathPara>
    </w:p>
    <w:p w:rsidR="00EF4B1B" w:rsidRDefault="00EF4B1B" w:rsidP="00EF4B1B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Where, </w:t>
      </w:r>
    </w:p>
    <w:p w:rsidR="00EF4B1B" w:rsidRDefault="00EC3D01" w:rsidP="00EF4B1B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Base case</m:t>
            </m:r>
          </m:sub>
        </m:sSub>
      </m:oMath>
      <w:r w:rsidR="000374FB">
        <w:rPr>
          <w:rFonts w:eastAsiaTheme="minorEastAsia"/>
        </w:rPr>
        <w:tab/>
      </w:r>
      <w:r w:rsidR="00265EA5">
        <w:rPr>
          <w:rFonts w:eastAsiaTheme="minorEastAsia"/>
        </w:rPr>
        <w:t xml:space="preserve"> </w:t>
      </w:r>
      <w:r w:rsidR="00265EA5">
        <w:rPr>
          <w:rFonts w:eastAsiaTheme="minorEastAsia"/>
        </w:rPr>
        <w:tab/>
      </w:r>
      <w:r w:rsidR="00EF4B1B">
        <w:rPr>
          <w:rFonts w:eastAsiaTheme="minorEastAsia"/>
        </w:rPr>
        <w:t>= Baseline showerhead flow rate</w:t>
      </w:r>
    </w:p>
    <w:p w:rsidR="00EF4B1B" w:rsidRDefault="00EF4B1B" w:rsidP="00EF4B1B">
      <w:pPr>
        <w:rPr>
          <w:rFonts w:eastAsiaTheme="minorEastAsia"/>
        </w:rPr>
      </w:pPr>
      <w:r>
        <w:rPr>
          <w:rFonts w:eastAsiaTheme="minorEastAsia"/>
        </w:rPr>
        <w:tab/>
      </w:r>
      <w:r w:rsidR="000374FB">
        <w:rPr>
          <w:rFonts w:eastAsiaTheme="minorEastAsia"/>
        </w:rPr>
        <w:tab/>
      </w:r>
      <w:r>
        <w:rPr>
          <w:rFonts w:eastAsiaTheme="minorEastAsia"/>
        </w:rPr>
        <w:t xml:space="preserve">= 2.25 Gallons per </w:t>
      </w:r>
      <w:r w:rsidR="00B911F1">
        <w:rPr>
          <w:rFonts w:eastAsiaTheme="minorEastAsia"/>
        </w:rPr>
        <w:t>m</w:t>
      </w:r>
      <w:r>
        <w:rPr>
          <w:rFonts w:eastAsiaTheme="minorEastAsia"/>
        </w:rPr>
        <w:t>inute</w:t>
      </w:r>
    </w:p>
    <w:p w:rsidR="00EF4B1B" w:rsidRDefault="00EF4B1B" w:rsidP="00EF4B1B">
      <w:pPr>
        <w:rPr>
          <w:rFonts w:eastAsiaTheme="minorEastAsia"/>
        </w:rPr>
      </w:pPr>
      <w:r>
        <w:rPr>
          <w:rFonts w:eastAsiaTheme="minorEastAsia"/>
        </w:rPr>
        <w:t>Days/year</w:t>
      </w:r>
      <w:r w:rsidR="000374FB">
        <w:rPr>
          <w:rFonts w:eastAsiaTheme="minorEastAsia"/>
        </w:rPr>
        <w:tab/>
        <w:t>= 365</w:t>
      </w:r>
    </w:p>
    <w:p w:rsidR="00F56139" w:rsidRDefault="00F56139" w:rsidP="00936B56">
      <w:pPr>
        <w:pStyle w:val="Heading2"/>
      </w:pPr>
    </w:p>
    <w:p w:rsidR="00936B56" w:rsidRPr="001F7360" w:rsidRDefault="00936B56" w:rsidP="00936B56">
      <w:pPr>
        <w:pStyle w:val="Heading2"/>
      </w:pPr>
      <w:r>
        <w:t>Schools</w:t>
      </w:r>
      <w:r w:rsidR="00250478">
        <w:t xml:space="preserve"> Calculation</w:t>
      </w:r>
      <w:r w:rsidRPr="001F7360">
        <w:t>:</w:t>
      </w:r>
    </w:p>
    <w:p w:rsidR="00142079" w:rsidRDefault="00936B56" w:rsidP="00936B56">
      <w:r>
        <w:t xml:space="preserve">Data </w:t>
      </w:r>
      <w:r w:rsidR="00E57B2D">
        <w:t>were</w:t>
      </w:r>
      <w:r>
        <w:t xml:space="preserve"> utilized to determine the </w:t>
      </w:r>
      <w:r w:rsidR="00B911F1">
        <w:t xml:space="preserve">annual </w:t>
      </w:r>
      <w:r>
        <w:t xml:space="preserve">average water consumption from </w:t>
      </w:r>
      <w:r w:rsidR="009F2D33">
        <w:t>shower</w:t>
      </w:r>
      <w:r>
        <w:t xml:space="preserve">s in schools.  Water consumption was logged and bills were reviewed for four schools.  Two of those schools had sufficient data to disaggregate </w:t>
      </w:r>
      <w:r w:rsidR="00142079">
        <w:t>annual consumption</w:t>
      </w:r>
      <w:r w:rsidR="00142079" w:rsidRPr="00142079">
        <w:t xml:space="preserve"> </w:t>
      </w:r>
      <w:r w:rsidR="00142079">
        <w:t xml:space="preserve">into multiple end uses.  Below is data from those schools related to the number of </w:t>
      </w:r>
      <w:r w:rsidR="009F2D33">
        <w:t>shower</w:t>
      </w:r>
      <w:r w:rsidR="00142079">
        <w:t xml:space="preserve">s and the total water consumption at </w:t>
      </w:r>
      <w:r w:rsidR="009F2D33">
        <w:t>showers.</w:t>
      </w:r>
    </w:p>
    <w:p w:rsidR="00C47FF7" w:rsidRDefault="00C47FF7" w:rsidP="00C47FF7">
      <w:pPr>
        <w:pStyle w:val="Caption"/>
      </w:pPr>
      <w:r>
        <w:t xml:space="preserve">Table </w:t>
      </w:r>
      <w:fldSimple w:instr=" SEQ Table \* ARABIC ">
        <w:r w:rsidR="00CF333B">
          <w:rPr>
            <w:noProof/>
          </w:rPr>
          <w:t>3</w:t>
        </w:r>
      </w:fldSimple>
      <w:r>
        <w:t xml:space="preserve"> – Schools Calculation 1 Data</w:t>
      </w:r>
      <w:r w:rsidR="007F14CC">
        <w:t xml:space="preserve"> </w:t>
      </w:r>
      <w:r w:rsidR="007F14CC">
        <w:rPr>
          <w:vertAlign w:val="superscript"/>
        </w:rPr>
        <w:t>2</w:t>
      </w: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5676"/>
        <w:gridCol w:w="1149"/>
        <w:gridCol w:w="1365"/>
        <w:gridCol w:w="1170"/>
      </w:tblGrid>
      <w:tr w:rsidR="00142079" w:rsidRPr="00287C29" w:rsidTr="00142079">
        <w:trPr>
          <w:trHeight w:val="315"/>
        </w:trPr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079" w:rsidRPr="00287C29" w:rsidRDefault="00142079" w:rsidP="00142079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vAlign w:val="bottom"/>
            <w:hideMark/>
          </w:tcPr>
          <w:p w:rsidR="00142079" w:rsidRPr="00287C29" w:rsidRDefault="00142079" w:rsidP="000511A4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Combined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noWrap/>
            <w:vAlign w:val="bottom"/>
            <w:hideMark/>
          </w:tcPr>
          <w:p w:rsidR="00142079" w:rsidRPr="00287C29" w:rsidRDefault="00142079" w:rsidP="000511A4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School 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noWrap/>
            <w:vAlign w:val="bottom"/>
            <w:hideMark/>
          </w:tcPr>
          <w:p w:rsidR="00142079" w:rsidRPr="00287C29" w:rsidRDefault="00142079" w:rsidP="000511A4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School 2</w:t>
            </w:r>
          </w:p>
        </w:tc>
      </w:tr>
      <w:tr w:rsidR="009F2D33" w:rsidRPr="00287C29" w:rsidTr="00142079">
        <w:trPr>
          <w:trHeight w:val="300"/>
        </w:trPr>
        <w:tc>
          <w:tcPr>
            <w:tcW w:w="56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54B56"/>
            <w:vAlign w:val="bottom"/>
            <w:hideMark/>
          </w:tcPr>
          <w:p w:rsidR="009F2D33" w:rsidRPr="00287C29" w:rsidRDefault="009F2D33" w:rsidP="00142079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Total annual water consumption at showers (gallons)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9F2D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258000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9F2D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115000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9F2D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143000</w:t>
            </w:r>
          </w:p>
        </w:tc>
      </w:tr>
      <w:tr w:rsidR="009F2D33" w:rsidRPr="00287C29" w:rsidTr="00142079">
        <w:trPr>
          <w:trHeight w:val="300"/>
        </w:trPr>
        <w:tc>
          <w:tcPr>
            <w:tcW w:w="56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54B56"/>
            <w:noWrap/>
            <w:vAlign w:val="bottom"/>
            <w:hideMark/>
          </w:tcPr>
          <w:p w:rsidR="009F2D33" w:rsidRPr="00287C29" w:rsidRDefault="009F2D33" w:rsidP="00142079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Total number of showers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9F2D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9F2D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D33" w:rsidRPr="00287C29" w:rsidRDefault="009F2D33" w:rsidP="009F2D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</w:tr>
    </w:tbl>
    <w:p w:rsidR="00142079" w:rsidRDefault="00142079" w:rsidP="00936B56"/>
    <w:p w:rsidR="007A46A3" w:rsidRDefault="00142079" w:rsidP="00142079">
      <w:r>
        <w:t xml:space="preserve">The average water consumption for individual </w:t>
      </w:r>
      <w:r w:rsidR="009F2D33">
        <w:t>shower</w:t>
      </w:r>
      <w:r>
        <w:t xml:space="preserve">s was calculated </w:t>
      </w:r>
      <w:r w:rsidR="003319D0">
        <w:t>as</w:t>
      </w:r>
    </w:p>
    <w:p w:rsidR="007A46A3" w:rsidRDefault="007A46A3" w:rsidP="007A46A3"/>
    <w:p w:rsidR="002039E9" w:rsidRDefault="002039E9" w:rsidP="002039E9">
      <w:pPr>
        <w:pStyle w:val="Caption"/>
      </w:pPr>
      <w:r>
        <w:t xml:space="preserve">Equation </w:t>
      </w:r>
      <w:fldSimple w:instr=" SEQ Equation \* ARABIC ">
        <w:r w:rsidR="00EF4B1B">
          <w:rPr>
            <w:noProof/>
          </w:rPr>
          <w:t>5</w:t>
        </w:r>
      </w:fldSimple>
    </w:p>
    <w:p w:rsidR="007A46A3" w:rsidRPr="007A46A3" w:rsidRDefault="003319D0" w:rsidP="007A46A3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4,373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Gallons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Year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258,000 Gallons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59 Showers</m:t>
              </m:r>
            </m:den>
          </m:f>
        </m:oMath>
      </m:oMathPara>
    </w:p>
    <w:p w:rsidR="002A1267" w:rsidRDefault="002A1267" w:rsidP="00221B60">
      <w:pPr>
        <w:pStyle w:val="Heading2"/>
      </w:pPr>
    </w:p>
    <w:p w:rsidR="002A1267" w:rsidRDefault="002A1267" w:rsidP="002A1267">
      <w:pPr>
        <w:pStyle w:val="Heading2"/>
      </w:pPr>
      <w:r>
        <w:t>Water Savings Calculations</w:t>
      </w:r>
    </w:p>
    <w:p w:rsidR="002A1267" w:rsidRDefault="002A1267" w:rsidP="002A1267"/>
    <w:p w:rsidR="002A1267" w:rsidRDefault="002A1267" w:rsidP="002A1267">
      <w:pPr>
        <w:rPr>
          <w:rFonts w:eastAsiaTheme="minorEastAsia"/>
        </w:rPr>
      </w:pPr>
      <w:r>
        <w:rPr>
          <w:rFonts w:eastAsiaTheme="minorEastAsia"/>
        </w:rPr>
        <w:t xml:space="preserve">The consumption of </w:t>
      </w:r>
      <w:r w:rsidR="00EF4B1B">
        <w:rPr>
          <w:rFonts w:eastAsiaTheme="minorEastAsia"/>
        </w:rPr>
        <w:t>replacing</w:t>
      </w:r>
      <w:r>
        <w:rPr>
          <w:rFonts w:eastAsiaTheme="minorEastAsia"/>
        </w:rPr>
        <w:t xml:space="preserve"> a 2.2</w:t>
      </w:r>
      <w:r w:rsidR="00EF4B1B">
        <w:rPr>
          <w:rFonts w:eastAsiaTheme="minorEastAsia"/>
        </w:rPr>
        <w:t>5</w:t>
      </w:r>
      <w:r>
        <w:rPr>
          <w:rFonts w:eastAsiaTheme="minorEastAsia"/>
        </w:rPr>
        <w:t xml:space="preserve"> GPM </w:t>
      </w:r>
      <w:r w:rsidR="009F2D33">
        <w:rPr>
          <w:rFonts w:eastAsiaTheme="minorEastAsia"/>
        </w:rPr>
        <w:t>showerhead</w:t>
      </w:r>
      <w:r>
        <w:rPr>
          <w:rFonts w:eastAsiaTheme="minorEastAsia"/>
        </w:rPr>
        <w:t xml:space="preserve"> (F</w:t>
      </w:r>
      <w:r w:rsidRPr="00597E15">
        <w:rPr>
          <w:rFonts w:eastAsiaTheme="minorEastAsia"/>
          <w:vertAlign w:val="subscript"/>
        </w:rPr>
        <w:t>B</w:t>
      </w:r>
      <w:r>
        <w:rPr>
          <w:rFonts w:eastAsiaTheme="minorEastAsia"/>
        </w:rPr>
        <w:t xml:space="preserve">) with a </w:t>
      </w:r>
      <w:r w:rsidR="00EF4B1B">
        <w:rPr>
          <w:rFonts w:eastAsiaTheme="minorEastAsia"/>
        </w:rPr>
        <w:t>1</w:t>
      </w:r>
      <w:r>
        <w:rPr>
          <w:rFonts w:eastAsiaTheme="minorEastAsia"/>
        </w:rPr>
        <w:t xml:space="preserve">.5 GPM </w:t>
      </w:r>
      <w:r w:rsidR="00EF4B1B">
        <w:rPr>
          <w:rFonts w:eastAsiaTheme="minorEastAsia"/>
        </w:rPr>
        <w:t>showerhead</w:t>
      </w:r>
      <w:r>
        <w:rPr>
          <w:rFonts w:eastAsiaTheme="minorEastAsia"/>
        </w:rPr>
        <w:t xml:space="preserve"> (F</w:t>
      </w:r>
      <w:r w:rsidRPr="00597E15">
        <w:rPr>
          <w:rFonts w:eastAsiaTheme="minorEastAsia"/>
          <w:vertAlign w:val="subscript"/>
        </w:rPr>
        <w:t>P</w:t>
      </w:r>
      <w:r>
        <w:rPr>
          <w:rFonts w:eastAsiaTheme="minorEastAsia"/>
        </w:rPr>
        <w:t>) is calculated as:</w:t>
      </w:r>
    </w:p>
    <w:p w:rsidR="00B361F7" w:rsidRDefault="002039E9" w:rsidP="00B361F7">
      <w:pPr>
        <w:pStyle w:val="Caption"/>
      </w:pPr>
      <w:r>
        <w:t xml:space="preserve">Equation </w:t>
      </w:r>
      <w:fldSimple w:instr=" SEQ Equation \* ARABIC ">
        <w:r w:rsidR="00EF4B1B">
          <w:rPr>
            <w:noProof/>
          </w:rPr>
          <w:t>6</w:t>
        </w:r>
      </w:fldSimple>
    </w:p>
    <w:p w:rsidR="002A1267" w:rsidRPr="00A3091D" w:rsidRDefault="00EC3D01" w:rsidP="002A1267">
      <w:pPr>
        <w:rPr>
          <w:rFonts w:eastAsiaTheme="minorEastAsia"/>
          <w:sz w:val="2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B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×0.5 GPM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2.2 GPM</m:t>
              </m:r>
            </m:den>
          </m:f>
        </m:oMath>
      </m:oMathPara>
    </w:p>
    <w:p w:rsidR="002A1267" w:rsidRDefault="002A1267" w:rsidP="002A1267">
      <w:r>
        <w:t>Where,</w:t>
      </w:r>
    </w:p>
    <w:p w:rsidR="002A1267" w:rsidRDefault="002A1267" w:rsidP="002A1267">
      <w:r>
        <w:t>U</w:t>
      </w:r>
      <w:r w:rsidRPr="00597E15">
        <w:rPr>
          <w:vertAlign w:val="subscript"/>
        </w:rPr>
        <w:t>P</w:t>
      </w:r>
      <w:r>
        <w:t xml:space="preserve"> = Annual post-installation consumption in gallons</w:t>
      </w:r>
    </w:p>
    <w:p w:rsidR="003D2504" w:rsidRDefault="002A1267" w:rsidP="003D2504">
      <w:r>
        <w:t>U</w:t>
      </w:r>
      <w:r w:rsidRPr="00597E15">
        <w:rPr>
          <w:vertAlign w:val="subscript"/>
        </w:rPr>
        <w:t>B</w:t>
      </w:r>
      <w:r>
        <w:t xml:space="preserve"> = Annual baseline consumption in gallons </w:t>
      </w:r>
    </w:p>
    <w:p w:rsidR="00A3091D" w:rsidRDefault="00A3091D" w:rsidP="003D2504"/>
    <w:p w:rsidR="00A3091D" w:rsidRDefault="00A3091D" w:rsidP="003D2504">
      <w:r>
        <w:t>Water Savings (U</w:t>
      </w:r>
      <w:r w:rsidRPr="00A3091D">
        <w:rPr>
          <w:vertAlign w:val="subscript"/>
        </w:rPr>
        <w:t>S</w:t>
      </w:r>
      <w:r>
        <w:t>) is calculated as:</w:t>
      </w:r>
    </w:p>
    <w:p w:rsidR="00A3091D" w:rsidRDefault="002039E9" w:rsidP="00A3091D">
      <w:pPr>
        <w:pStyle w:val="Caption"/>
      </w:pPr>
      <w:r>
        <w:t xml:space="preserve">Equation </w:t>
      </w:r>
      <w:fldSimple w:instr=" SEQ Equation \* ARABIC ">
        <w:r w:rsidR="00EF4B1B">
          <w:rPr>
            <w:noProof/>
          </w:rPr>
          <w:t>7</w:t>
        </w:r>
      </w:fldSimple>
    </w:p>
    <w:p w:rsidR="00A3091D" w:rsidRPr="0021598B" w:rsidRDefault="00EC3D01" w:rsidP="003D250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B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P</m:t>
              </m:r>
            </m:sub>
          </m:sSub>
        </m:oMath>
      </m:oMathPara>
    </w:p>
    <w:p w:rsidR="0021598B" w:rsidRPr="00A3091D" w:rsidRDefault="0021598B" w:rsidP="003D2504">
      <w:pPr>
        <w:rPr>
          <w:rFonts w:eastAsiaTheme="minorEastAsia"/>
        </w:rPr>
      </w:pPr>
    </w:p>
    <w:p w:rsidR="007A46A3" w:rsidRDefault="007A46A3" w:rsidP="003D2504">
      <w:r>
        <w:lastRenderedPageBreak/>
        <w:t xml:space="preserve">Table </w:t>
      </w:r>
      <w:fldSimple w:instr=" SEQ Table \* ARABIC ">
        <w:r w:rsidR="00CF333B">
          <w:rPr>
            <w:noProof/>
          </w:rPr>
          <w:t>4</w:t>
        </w:r>
      </w:fldSimple>
      <w:r>
        <w:t xml:space="preserve"> – Calculated Water Savings</w:t>
      </w:r>
    </w:p>
    <w:tbl>
      <w:tblPr>
        <w:tblW w:w="6840" w:type="dxa"/>
        <w:tblInd w:w="108" w:type="dxa"/>
        <w:tblLook w:val="04A0" w:firstRow="1" w:lastRow="0" w:firstColumn="1" w:lastColumn="0" w:noHBand="0" w:noVBand="1"/>
      </w:tblPr>
      <w:tblGrid>
        <w:gridCol w:w="1440"/>
        <w:gridCol w:w="1980"/>
        <w:gridCol w:w="1800"/>
        <w:gridCol w:w="1620"/>
      </w:tblGrid>
      <w:tr w:rsidR="007C7F09" w:rsidRPr="00287C29" w:rsidTr="007C7F09">
        <w:trPr>
          <w:trHeight w:val="12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noWrap/>
            <w:vAlign w:val="bottom"/>
            <w:hideMark/>
          </w:tcPr>
          <w:p w:rsidR="007C7F09" w:rsidRPr="00287C29" w:rsidRDefault="007C7F09" w:rsidP="002A1267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vAlign w:val="bottom"/>
            <w:hideMark/>
          </w:tcPr>
          <w:p w:rsidR="007C7F09" w:rsidRPr="00287C29" w:rsidRDefault="007C7F09" w:rsidP="0013462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0"/>
                <w:szCs w:val="20"/>
              </w:rPr>
              <w:t>Baseline Water Consumption, U</w:t>
            </w:r>
            <w:r w:rsidRPr="00287C29">
              <w:rPr>
                <w:rFonts w:ascii="Calibri" w:eastAsia="Times New Roman" w:hAnsi="Calibri" w:cs="Times New Roman"/>
                <w:b/>
                <w:color w:val="FFFFFF" w:themeColor="background1"/>
                <w:sz w:val="20"/>
                <w:szCs w:val="20"/>
              </w:rPr>
              <w:t>B (Gallons/Year)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vAlign w:val="bottom"/>
          </w:tcPr>
          <w:p w:rsidR="007C7F09" w:rsidRPr="00287C29" w:rsidRDefault="007C7F09" w:rsidP="00134625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0"/>
                <w:szCs w:val="20"/>
              </w:rPr>
              <w:t>Post-Installation Water Consumption, U</w:t>
            </w:r>
            <w:r w:rsidRPr="00287C29">
              <w:rPr>
                <w:rFonts w:ascii="Calibri" w:eastAsia="Times New Roman" w:hAnsi="Calibri" w:cs="Times New Roman"/>
                <w:b/>
                <w:color w:val="FFFFFF" w:themeColor="background1"/>
                <w:sz w:val="20"/>
                <w:szCs w:val="20"/>
              </w:rPr>
              <w:t>P (Gallons/Year)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vAlign w:val="bottom"/>
            <w:hideMark/>
          </w:tcPr>
          <w:p w:rsidR="007C7F09" w:rsidRPr="00287C29" w:rsidRDefault="007C7F09" w:rsidP="007C7F09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0"/>
                <w:szCs w:val="20"/>
              </w:rPr>
              <w:t>Water Savings</w:t>
            </w:r>
            <w:r w:rsidRPr="00287C29">
              <w:rPr>
                <w:rFonts w:ascii="Calibri" w:eastAsia="Times New Roman" w:hAnsi="Calibri" w:cs="Times New Roman"/>
                <w:b/>
                <w:color w:val="FFFFFF" w:themeColor="background1"/>
                <w:sz w:val="20"/>
                <w:szCs w:val="20"/>
              </w:rPr>
              <w:t xml:space="preserve"> (Gallons/Year)</w:t>
            </w:r>
          </w:p>
        </w:tc>
      </w:tr>
      <w:tr w:rsidR="00B02733" w:rsidRPr="00287C29" w:rsidTr="00EF4B1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noWrap/>
            <w:vAlign w:val="bottom"/>
            <w:hideMark/>
          </w:tcPr>
          <w:p w:rsidR="00B02733" w:rsidRPr="00287C29" w:rsidRDefault="00B02733" w:rsidP="002A1267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Hospitality 1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2733" w:rsidRPr="00287C29" w:rsidRDefault="00B02733" w:rsidP="00B0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8581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02733" w:rsidRPr="00287C29" w:rsidRDefault="00B02733" w:rsidP="00B0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5721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02733" w:rsidRPr="00287C29" w:rsidRDefault="00B02733" w:rsidP="00B0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2860</w:t>
            </w:r>
          </w:p>
        </w:tc>
      </w:tr>
      <w:tr w:rsidR="00B02733" w:rsidRPr="00287C29" w:rsidTr="00EF4B1B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noWrap/>
            <w:vAlign w:val="bottom"/>
            <w:hideMark/>
          </w:tcPr>
          <w:p w:rsidR="00B02733" w:rsidRPr="00287C29" w:rsidRDefault="00B02733" w:rsidP="00B02733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Hospitality 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02733" w:rsidRPr="00287C29" w:rsidRDefault="00287C29" w:rsidP="00B0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10273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02733" w:rsidRPr="00287C29" w:rsidRDefault="00287C29" w:rsidP="00B0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6849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02733" w:rsidRPr="00287C29" w:rsidRDefault="00287C29" w:rsidP="00B0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3424</w:t>
            </w:r>
          </w:p>
        </w:tc>
      </w:tr>
      <w:tr w:rsidR="00B02733" w:rsidRPr="00287C29" w:rsidTr="00EF4B1B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noWrap/>
            <w:vAlign w:val="bottom"/>
            <w:hideMark/>
          </w:tcPr>
          <w:p w:rsidR="00B02733" w:rsidRPr="00287C29" w:rsidRDefault="00B02733" w:rsidP="002A1267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Schools</w:t>
            </w:r>
          </w:p>
        </w:tc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02733" w:rsidRPr="00287C29" w:rsidRDefault="00B02733" w:rsidP="00B0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4373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02733" w:rsidRPr="00287C29" w:rsidRDefault="00B02733" w:rsidP="00B0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2915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02733" w:rsidRPr="00287C29" w:rsidRDefault="00B02733" w:rsidP="00B0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1458</w:t>
            </w:r>
          </w:p>
        </w:tc>
      </w:tr>
    </w:tbl>
    <w:p w:rsidR="002A1267" w:rsidRPr="002A1267" w:rsidRDefault="002A1267" w:rsidP="002A1267"/>
    <w:p w:rsidR="00221B60" w:rsidRDefault="00221B60" w:rsidP="00221B60">
      <w:pPr>
        <w:pStyle w:val="Heading2"/>
      </w:pPr>
      <w:r>
        <w:t xml:space="preserve">Energy </w:t>
      </w:r>
      <w:r w:rsidR="007C7F09">
        <w:t>Consumption</w:t>
      </w:r>
      <w:r>
        <w:t xml:space="preserve"> calculations</w:t>
      </w:r>
    </w:p>
    <w:p w:rsidR="00221B60" w:rsidRDefault="00221B60" w:rsidP="00221B60">
      <w:r>
        <w:t xml:space="preserve">Annual gas </w:t>
      </w:r>
      <w:r w:rsidR="0021598B">
        <w:t>consumption</w:t>
      </w:r>
      <w:r>
        <w:t xml:space="preserve"> </w:t>
      </w:r>
      <w:r w:rsidR="003319D0">
        <w:t>is</w:t>
      </w:r>
      <w:r w:rsidR="0083567D">
        <w:t xml:space="preserve"> calculated as:</w:t>
      </w:r>
    </w:p>
    <w:p w:rsidR="00221B60" w:rsidRDefault="00221B60" w:rsidP="00221B60"/>
    <w:p w:rsidR="002039E9" w:rsidRDefault="002039E9" w:rsidP="002039E9">
      <w:pPr>
        <w:pStyle w:val="Caption"/>
      </w:pPr>
      <w:r>
        <w:t xml:space="preserve">Equation </w:t>
      </w:r>
      <w:fldSimple w:instr=" SEQ Equation \* ARABIC ">
        <w:r w:rsidR="00EF4B1B">
          <w:rPr>
            <w:noProof/>
          </w:rPr>
          <w:t>8</w:t>
        </w:r>
      </w:fldSimple>
    </w:p>
    <w:p w:rsidR="00221B60" w:rsidRPr="007C7F09" w:rsidRDefault="00254183" w:rsidP="00221B60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Therms=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ρ×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U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Supply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T</m:t>
                      </m:r>
                    </m:sub>
                  </m:sSub>
                </m:den>
              </m:f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 xml:space="preserve">100,000 </m:t>
              </m:r>
              <m:f>
                <m:fPr>
                  <m:type m:val="lin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BTU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Therm</m:t>
                  </m:r>
                </m:den>
              </m:f>
            </m:den>
          </m:f>
        </m:oMath>
      </m:oMathPara>
    </w:p>
    <w:p w:rsidR="007C7F09" w:rsidRPr="00254183" w:rsidRDefault="007C7F09" w:rsidP="00221B60">
      <w:pPr>
        <w:rPr>
          <w:rFonts w:eastAsiaTheme="minorEastAsia"/>
        </w:rPr>
      </w:pPr>
    </w:p>
    <w:p w:rsidR="00C1001F" w:rsidRDefault="00C1001F" w:rsidP="00C1001F">
      <w:pPr>
        <w:pStyle w:val="Caption"/>
      </w:pPr>
      <w:r>
        <w:t xml:space="preserve">Table </w:t>
      </w:r>
      <w:fldSimple w:instr=" SEQ Table \* ARABIC ">
        <w:r w:rsidR="00CF333B">
          <w:rPr>
            <w:noProof/>
          </w:rPr>
          <w:t>5</w:t>
        </w:r>
      </w:fldSimple>
      <w:r>
        <w:t xml:space="preserve"> – Energy Calculation Constants</w:t>
      </w:r>
    </w:p>
    <w:tbl>
      <w:tblPr>
        <w:tblW w:w="9008" w:type="dxa"/>
        <w:tblInd w:w="108" w:type="dxa"/>
        <w:tblLook w:val="04A0" w:firstRow="1" w:lastRow="0" w:firstColumn="1" w:lastColumn="0" w:noHBand="0" w:noVBand="1"/>
      </w:tblPr>
      <w:tblGrid>
        <w:gridCol w:w="5660"/>
        <w:gridCol w:w="16"/>
        <w:gridCol w:w="1304"/>
        <w:gridCol w:w="32"/>
        <w:gridCol w:w="1948"/>
        <w:gridCol w:w="48"/>
      </w:tblGrid>
      <w:tr w:rsidR="0083567D" w:rsidRPr="00C73B74" w:rsidTr="0083567D">
        <w:trPr>
          <w:gridAfter w:val="1"/>
          <w:wAfter w:w="48" w:type="dxa"/>
          <w:trHeight w:val="315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67D" w:rsidRPr="00C73B74" w:rsidRDefault="0083567D" w:rsidP="00B361F7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vAlign w:val="bottom"/>
            <w:hideMark/>
          </w:tcPr>
          <w:p w:rsidR="0083567D" w:rsidRPr="00C73B74" w:rsidRDefault="0083567D" w:rsidP="00B361F7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</w:pPr>
            <w:r w:rsidRPr="00C73B74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  <w:t>Value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vAlign w:val="bottom"/>
            <w:hideMark/>
          </w:tcPr>
          <w:p w:rsidR="0083567D" w:rsidRPr="00C73B74" w:rsidRDefault="0083567D" w:rsidP="00B361F7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</w:pPr>
            <w:r w:rsidRPr="00C73B74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  <w:t>Units</w:t>
            </w:r>
          </w:p>
        </w:tc>
      </w:tr>
      <w:tr w:rsidR="0083567D" w:rsidRPr="0083567D" w:rsidTr="000716C4">
        <w:trPr>
          <w:trHeight w:val="300"/>
        </w:trPr>
        <w:tc>
          <w:tcPr>
            <w:tcW w:w="56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54B56"/>
            <w:noWrap/>
            <w:vAlign w:val="bottom"/>
            <w:hideMark/>
          </w:tcPr>
          <w:p w:rsidR="0083567D" w:rsidRPr="0083567D" w:rsidRDefault="0083567D" w:rsidP="0083567D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2"/>
              </w:rPr>
            </w:pPr>
            <w:r w:rsidRPr="0083567D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2"/>
              </w:rPr>
              <w:t>Base Flow Rate (F</w:t>
            </w:r>
            <w:r w:rsidRPr="0083567D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</w:rPr>
              <w:t>B</w:t>
            </w:r>
            <w:r w:rsidRPr="0083567D">
              <w:rPr>
                <w:rFonts w:ascii="Calibri" w:eastAsia="Times New Roman" w:hAnsi="Calibri" w:cs="Times New Roman"/>
                <w:color w:val="FFFFFF" w:themeColor="background1"/>
                <w:sz w:val="22"/>
              </w:rPr>
              <w:t>)</w:t>
            </w:r>
          </w:p>
        </w:tc>
        <w:tc>
          <w:tcPr>
            <w:tcW w:w="1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67D" w:rsidRPr="0083567D" w:rsidRDefault="0083567D" w:rsidP="0083567D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567D">
              <w:rPr>
                <w:rFonts w:ascii="Calibri" w:eastAsia="Times New Roman" w:hAnsi="Calibri" w:cs="Times New Roman"/>
                <w:color w:val="000000"/>
                <w:sz w:val="22"/>
              </w:rPr>
              <w:t>2.2</w:t>
            </w:r>
            <w:r w:rsidR="00EF4B1B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</w:p>
        </w:tc>
        <w:tc>
          <w:tcPr>
            <w:tcW w:w="1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3567D" w:rsidRPr="0083567D" w:rsidRDefault="0083567D" w:rsidP="0083567D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567D">
              <w:rPr>
                <w:rFonts w:ascii="Calibri" w:eastAsia="Times New Roman" w:hAnsi="Calibri" w:cs="Times New Roman"/>
                <w:color w:val="000000"/>
                <w:sz w:val="22"/>
              </w:rPr>
              <w:t>Gallons per Minute</w:t>
            </w:r>
          </w:p>
        </w:tc>
      </w:tr>
      <w:tr w:rsidR="0083567D" w:rsidRPr="0083567D" w:rsidTr="000716C4">
        <w:trPr>
          <w:trHeight w:val="300"/>
        </w:trPr>
        <w:tc>
          <w:tcPr>
            <w:tcW w:w="56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54B56"/>
            <w:noWrap/>
            <w:vAlign w:val="bottom"/>
            <w:hideMark/>
          </w:tcPr>
          <w:p w:rsidR="0083567D" w:rsidRPr="0083567D" w:rsidRDefault="0083567D" w:rsidP="0083567D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2"/>
              </w:rPr>
            </w:pPr>
            <w:r w:rsidRPr="0083567D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2"/>
              </w:rPr>
              <w:t>Post Flow Rate (F</w:t>
            </w:r>
            <w:r w:rsidRPr="0083567D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</w:rPr>
              <w:t>P</w:t>
            </w:r>
            <w:r w:rsidRPr="0083567D">
              <w:rPr>
                <w:rFonts w:ascii="Calibri" w:eastAsia="Times New Roman" w:hAnsi="Calibri" w:cs="Times New Roman"/>
                <w:color w:val="FFFFFF" w:themeColor="background1"/>
                <w:sz w:val="22"/>
              </w:rPr>
              <w:t>)</w:t>
            </w:r>
          </w:p>
        </w:tc>
        <w:tc>
          <w:tcPr>
            <w:tcW w:w="1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3567D" w:rsidRPr="0083567D" w:rsidRDefault="00EF4B1B" w:rsidP="0083567D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 w:rsidR="0083567D" w:rsidRPr="0083567D">
              <w:rPr>
                <w:rFonts w:ascii="Calibri" w:eastAsia="Times New Roman" w:hAnsi="Calibri" w:cs="Times New Roman"/>
                <w:color w:val="000000"/>
                <w:sz w:val="22"/>
              </w:rPr>
              <w:t>.5</w:t>
            </w:r>
          </w:p>
        </w:tc>
        <w:tc>
          <w:tcPr>
            <w:tcW w:w="1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3567D" w:rsidRPr="0083567D" w:rsidRDefault="0083567D" w:rsidP="0083567D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567D">
              <w:rPr>
                <w:rFonts w:ascii="Calibri" w:eastAsia="Times New Roman" w:hAnsi="Calibri" w:cs="Times New Roman"/>
                <w:color w:val="000000"/>
                <w:sz w:val="22"/>
              </w:rPr>
              <w:t>Gallons per Minute</w:t>
            </w:r>
          </w:p>
        </w:tc>
      </w:tr>
      <w:tr w:rsidR="0083567D" w:rsidRPr="0083567D" w:rsidTr="000716C4">
        <w:trPr>
          <w:trHeight w:val="345"/>
        </w:trPr>
        <w:tc>
          <w:tcPr>
            <w:tcW w:w="56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54B56"/>
            <w:noWrap/>
            <w:vAlign w:val="bottom"/>
            <w:hideMark/>
          </w:tcPr>
          <w:p w:rsidR="0083567D" w:rsidRPr="0083567D" w:rsidRDefault="0083567D" w:rsidP="0083567D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</w:pPr>
            <w:r w:rsidRPr="0083567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  <w:t xml:space="preserve">Mixed Water </w:t>
            </w:r>
            <w:r w:rsidRPr="0083567D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2"/>
              </w:rPr>
              <w:t>Temperature (T</w:t>
            </w:r>
            <w:r w:rsidRPr="0083567D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</w:rPr>
              <w:t>H</w:t>
            </w:r>
            <w:r w:rsidRPr="0083567D">
              <w:rPr>
                <w:rFonts w:ascii="Calibri" w:eastAsia="Times New Roman" w:hAnsi="Calibri" w:cs="Times New Roman"/>
                <w:color w:val="FFFFFF" w:themeColor="background1"/>
                <w:sz w:val="22"/>
              </w:rPr>
              <w:t>)</w:t>
            </w:r>
            <w:r w:rsidR="00722B26">
              <w:rPr>
                <w:rStyle w:val="EndnoteReference"/>
                <w:rFonts w:ascii="Calibri" w:eastAsia="Times New Roman" w:hAnsi="Calibri"/>
                <w:color w:val="FFFFFF" w:themeColor="background1"/>
                <w:sz w:val="22"/>
              </w:rPr>
              <w:endnoteReference w:id="7"/>
            </w:r>
          </w:p>
        </w:tc>
        <w:tc>
          <w:tcPr>
            <w:tcW w:w="1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67D" w:rsidRPr="0083567D" w:rsidRDefault="0083567D" w:rsidP="0083567D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567D">
              <w:rPr>
                <w:rFonts w:ascii="Calibri" w:eastAsia="Times New Roman" w:hAnsi="Calibri" w:cs="Times New Roman"/>
                <w:color w:val="000000"/>
                <w:sz w:val="22"/>
              </w:rPr>
              <w:t>104</w:t>
            </w:r>
          </w:p>
        </w:tc>
        <w:tc>
          <w:tcPr>
            <w:tcW w:w="1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3567D" w:rsidRPr="0083567D" w:rsidRDefault="0083567D" w:rsidP="0083567D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83567D">
              <w:rPr>
                <w:rFonts w:ascii="Calibri" w:eastAsia="Times New Roman" w:hAnsi="Calibri" w:cs="Times New Roman"/>
                <w:color w:val="000000"/>
                <w:sz w:val="22"/>
                <w:vertAlign w:val="superscript"/>
              </w:rPr>
              <w:t>o</w:t>
            </w:r>
            <w:r w:rsidRPr="0083567D">
              <w:rPr>
                <w:rFonts w:ascii="Calibri" w:eastAsia="Times New Roman" w:hAnsi="Calibri" w:cs="Times New Roman"/>
                <w:color w:val="000000"/>
                <w:sz w:val="22"/>
              </w:rPr>
              <w:t>F</w:t>
            </w:r>
            <w:proofErr w:type="spellEnd"/>
          </w:p>
        </w:tc>
      </w:tr>
      <w:tr w:rsidR="0083567D" w:rsidRPr="0083567D" w:rsidTr="000716C4">
        <w:trPr>
          <w:trHeight w:val="345"/>
        </w:trPr>
        <w:tc>
          <w:tcPr>
            <w:tcW w:w="56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54B56"/>
            <w:noWrap/>
            <w:vAlign w:val="bottom"/>
            <w:hideMark/>
          </w:tcPr>
          <w:p w:rsidR="0083567D" w:rsidRPr="0083567D" w:rsidRDefault="0083567D" w:rsidP="0083567D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</w:pPr>
            <w:r w:rsidRPr="0083567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  <w:t>Hospitality Supply Water Temperature (</w:t>
            </w:r>
            <w:proofErr w:type="spellStart"/>
            <w:r w:rsidRPr="0083567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  <w:t>T</w:t>
            </w:r>
            <w:r w:rsidRPr="0083567D">
              <w:rPr>
                <w:rFonts w:ascii="Calibri" w:eastAsia="Times New Roman" w:hAnsi="Calibri" w:cs="Times New Roman"/>
                <w:sz w:val="16"/>
                <w:szCs w:val="16"/>
              </w:rPr>
              <w:t>supply</w:t>
            </w:r>
            <w:proofErr w:type="spellEnd"/>
            <w:r w:rsidRPr="0083567D">
              <w:rPr>
                <w:rFonts w:ascii="Calibri" w:eastAsia="Times New Roman" w:hAnsi="Calibri" w:cs="Times New Roman"/>
                <w:sz w:val="16"/>
                <w:szCs w:val="16"/>
              </w:rPr>
              <w:t>)</w:t>
            </w:r>
            <w:r w:rsidR="00722B26">
              <w:rPr>
                <w:rStyle w:val="EndnoteReference"/>
                <w:rFonts w:ascii="Calibri" w:eastAsia="Times New Roman" w:hAnsi="Calibri"/>
                <w:sz w:val="16"/>
                <w:szCs w:val="16"/>
              </w:rPr>
              <w:endnoteReference w:id="8"/>
            </w:r>
          </w:p>
        </w:tc>
        <w:tc>
          <w:tcPr>
            <w:tcW w:w="1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67D" w:rsidRPr="0083567D" w:rsidRDefault="0083567D" w:rsidP="0083567D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567D">
              <w:rPr>
                <w:rFonts w:ascii="Calibri" w:eastAsia="Times New Roman" w:hAnsi="Calibri" w:cs="Times New Roman"/>
                <w:color w:val="000000"/>
                <w:sz w:val="22"/>
              </w:rPr>
              <w:t>63.3</w:t>
            </w:r>
          </w:p>
        </w:tc>
        <w:tc>
          <w:tcPr>
            <w:tcW w:w="1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3567D" w:rsidRPr="0083567D" w:rsidRDefault="0083567D" w:rsidP="0083567D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83567D">
              <w:rPr>
                <w:rFonts w:ascii="Calibri" w:eastAsia="Times New Roman" w:hAnsi="Calibri" w:cs="Times New Roman"/>
                <w:color w:val="000000"/>
                <w:sz w:val="22"/>
                <w:vertAlign w:val="superscript"/>
              </w:rPr>
              <w:t>o</w:t>
            </w:r>
            <w:r w:rsidRPr="0083567D">
              <w:rPr>
                <w:rFonts w:ascii="Calibri" w:eastAsia="Times New Roman" w:hAnsi="Calibri" w:cs="Times New Roman"/>
                <w:color w:val="000000"/>
                <w:sz w:val="22"/>
              </w:rPr>
              <w:t>F</w:t>
            </w:r>
            <w:proofErr w:type="spellEnd"/>
          </w:p>
        </w:tc>
      </w:tr>
      <w:tr w:rsidR="0083567D" w:rsidRPr="0083567D" w:rsidTr="000716C4">
        <w:trPr>
          <w:trHeight w:val="345"/>
        </w:trPr>
        <w:tc>
          <w:tcPr>
            <w:tcW w:w="56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54B56"/>
            <w:noWrap/>
            <w:vAlign w:val="bottom"/>
            <w:hideMark/>
          </w:tcPr>
          <w:p w:rsidR="0083567D" w:rsidRPr="0083567D" w:rsidRDefault="0083567D" w:rsidP="0083567D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</w:pPr>
            <w:r w:rsidRPr="0083567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  <w:t>School Supply Water Temperature (</w:t>
            </w:r>
            <w:proofErr w:type="spellStart"/>
            <w:r w:rsidRPr="0083567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  <w:t>T</w:t>
            </w:r>
            <w:r w:rsidRPr="0083567D">
              <w:rPr>
                <w:rFonts w:ascii="Calibri" w:eastAsia="Times New Roman" w:hAnsi="Calibri" w:cs="Times New Roman"/>
                <w:sz w:val="16"/>
                <w:szCs w:val="16"/>
              </w:rPr>
              <w:t>supply</w:t>
            </w:r>
            <w:proofErr w:type="spellEnd"/>
            <w:r w:rsidRPr="0083567D">
              <w:rPr>
                <w:rFonts w:ascii="Calibri" w:eastAsia="Times New Roman" w:hAnsi="Calibri" w:cs="Times New Roman"/>
                <w:sz w:val="16"/>
                <w:szCs w:val="16"/>
              </w:rPr>
              <w:t>)</w:t>
            </w:r>
          </w:p>
        </w:tc>
        <w:tc>
          <w:tcPr>
            <w:tcW w:w="1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67D" w:rsidRPr="0083567D" w:rsidRDefault="0083567D" w:rsidP="0083567D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567D">
              <w:rPr>
                <w:rFonts w:ascii="Calibri" w:eastAsia="Times New Roman" w:hAnsi="Calibri" w:cs="Times New Roman"/>
                <w:color w:val="000000"/>
                <w:sz w:val="22"/>
              </w:rPr>
              <w:t>63.9</w:t>
            </w:r>
          </w:p>
        </w:tc>
        <w:tc>
          <w:tcPr>
            <w:tcW w:w="1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3567D" w:rsidRPr="0083567D" w:rsidRDefault="0083567D" w:rsidP="0083567D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83567D">
              <w:rPr>
                <w:rFonts w:ascii="Calibri" w:eastAsia="Times New Roman" w:hAnsi="Calibri" w:cs="Times New Roman"/>
                <w:color w:val="000000"/>
                <w:sz w:val="22"/>
                <w:vertAlign w:val="superscript"/>
              </w:rPr>
              <w:t>o</w:t>
            </w:r>
            <w:r w:rsidRPr="0083567D">
              <w:rPr>
                <w:rFonts w:ascii="Calibri" w:eastAsia="Times New Roman" w:hAnsi="Calibri" w:cs="Times New Roman"/>
                <w:color w:val="000000"/>
                <w:sz w:val="22"/>
              </w:rPr>
              <w:t>F</w:t>
            </w:r>
            <w:proofErr w:type="spellEnd"/>
          </w:p>
        </w:tc>
      </w:tr>
      <w:tr w:rsidR="0083567D" w:rsidRPr="0083567D" w:rsidTr="000716C4">
        <w:trPr>
          <w:trHeight w:val="345"/>
        </w:trPr>
        <w:tc>
          <w:tcPr>
            <w:tcW w:w="56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54B56"/>
            <w:noWrap/>
            <w:vAlign w:val="bottom"/>
            <w:hideMark/>
          </w:tcPr>
          <w:p w:rsidR="0083567D" w:rsidRPr="0083567D" w:rsidRDefault="0083567D" w:rsidP="0083567D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</w:pPr>
            <w:r w:rsidRPr="0083567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  <w:t>Restaurant Supply Water Temperature (</w:t>
            </w:r>
            <w:proofErr w:type="spellStart"/>
            <w:r w:rsidRPr="0083567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  <w:t>T</w:t>
            </w:r>
            <w:r w:rsidRPr="0083567D">
              <w:rPr>
                <w:rFonts w:ascii="Calibri" w:eastAsia="Times New Roman" w:hAnsi="Calibri" w:cs="Times New Roman"/>
                <w:sz w:val="16"/>
                <w:szCs w:val="16"/>
              </w:rPr>
              <w:t>supply</w:t>
            </w:r>
            <w:proofErr w:type="spellEnd"/>
            <w:r w:rsidRPr="0083567D">
              <w:rPr>
                <w:rFonts w:ascii="Calibri" w:eastAsia="Times New Roman" w:hAnsi="Calibri" w:cs="Times New Roman"/>
                <w:sz w:val="16"/>
                <w:szCs w:val="16"/>
              </w:rPr>
              <w:t>)</w:t>
            </w:r>
          </w:p>
        </w:tc>
        <w:tc>
          <w:tcPr>
            <w:tcW w:w="1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67D" w:rsidRPr="0083567D" w:rsidRDefault="0083567D" w:rsidP="0083567D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567D">
              <w:rPr>
                <w:rFonts w:ascii="Calibri" w:eastAsia="Times New Roman" w:hAnsi="Calibri" w:cs="Times New Roman"/>
                <w:color w:val="000000"/>
                <w:sz w:val="22"/>
              </w:rPr>
              <w:t>63.5</w:t>
            </w:r>
          </w:p>
        </w:tc>
        <w:tc>
          <w:tcPr>
            <w:tcW w:w="1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3567D" w:rsidRPr="0083567D" w:rsidRDefault="0083567D" w:rsidP="0083567D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83567D">
              <w:rPr>
                <w:rFonts w:ascii="Calibri" w:eastAsia="Times New Roman" w:hAnsi="Calibri" w:cs="Times New Roman"/>
                <w:color w:val="000000"/>
                <w:sz w:val="22"/>
                <w:vertAlign w:val="superscript"/>
              </w:rPr>
              <w:t>o</w:t>
            </w:r>
            <w:r w:rsidRPr="0083567D">
              <w:rPr>
                <w:rFonts w:ascii="Calibri" w:eastAsia="Times New Roman" w:hAnsi="Calibri" w:cs="Times New Roman"/>
                <w:color w:val="000000"/>
                <w:sz w:val="22"/>
              </w:rPr>
              <w:t>F</w:t>
            </w:r>
            <w:proofErr w:type="spellEnd"/>
          </w:p>
        </w:tc>
      </w:tr>
      <w:tr w:rsidR="0083567D" w:rsidRPr="0083567D" w:rsidTr="000716C4">
        <w:trPr>
          <w:trHeight w:val="300"/>
        </w:trPr>
        <w:tc>
          <w:tcPr>
            <w:tcW w:w="56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54B56"/>
            <w:noWrap/>
            <w:vAlign w:val="bottom"/>
            <w:hideMark/>
          </w:tcPr>
          <w:p w:rsidR="0083567D" w:rsidRPr="0083567D" w:rsidRDefault="0083567D" w:rsidP="0083567D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</w:pPr>
            <w:r w:rsidRPr="0083567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  <w:t>Water Density (</w:t>
            </w:r>
            <w:r w:rsidRPr="0083567D">
              <w:rPr>
                <w:rFonts w:ascii="Symbol" w:eastAsia="Times New Roman" w:hAnsi="Symbol" w:cs="Times New Roman"/>
                <w:sz w:val="22"/>
              </w:rPr>
              <w:t></w:t>
            </w:r>
            <w:r w:rsidRPr="0083567D">
              <w:rPr>
                <w:rFonts w:ascii="Calibri" w:eastAsia="Times New Roman" w:hAnsi="Calibri" w:cs="Times New Roman"/>
                <w:sz w:val="22"/>
              </w:rPr>
              <w:t>)</w:t>
            </w:r>
          </w:p>
        </w:tc>
        <w:tc>
          <w:tcPr>
            <w:tcW w:w="1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67D" w:rsidRPr="0083567D" w:rsidRDefault="0083567D" w:rsidP="0083567D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567D">
              <w:rPr>
                <w:rFonts w:ascii="Calibri" w:eastAsia="Times New Roman" w:hAnsi="Calibri" w:cs="Times New Roman"/>
                <w:color w:val="000000"/>
                <w:sz w:val="22"/>
              </w:rPr>
              <w:t>8.33</w:t>
            </w:r>
          </w:p>
        </w:tc>
        <w:tc>
          <w:tcPr>
            <w:tcW w:w="1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3567D" w:rsidRPr="0083567D" w:rsidRDefault="0083567D" w:rsidP="0083567D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567D">
              <w:rPr>
                <w:rFonts w:ascii="Calibri" w:eastAsia="Times New Roman" w:hAnsi="Calibri" w:cs="Times New Roman"/>
                <w:color w:val="000000"/>
                <w:sz w:val="22"/>
              </w:rPr>
              <w:t>lb/gallon</w:t>
            </w:r>
          </w:p>
        </w:tc>
      </w:tr>
      <w:tr w:rsidR="0083567D" w:rsidRPr="0083567D" w:rsidTr="000716C4">
        <w:trPr>
          <w:trHeight w:val="345"/>
        </w:trPr>
        <w:tc>
          <w:tcPr>
            <w:tcW w:w="56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54B56"/>
            <w:noWrap/>
            <w:vAlign w:val="bottom"/>
            <w:hideMark/>
          </w:tcPr>
          <w:p w:rsidR="0083567D" w:rsidRPr="0083567D" w:rsidRDefault="0083567D" w:rsidP="0083567D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</w:pPr>
            <w:r w:rsidRPr="0083567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  <w:t>Specific Heat of Water (</w:t>
            </w:r>
            <w:proofErr w:type="spellStart"/>
            <w:r w:rsidRPr="0083567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  <w:t>C</w:t>
            </w:r>
            <w:r w:rsidRPr="0083567D">
              <w:rPr>
                <w:rFonts w:ascii="Calibri" w:eastAsia="Times New Roman" w:hAnsi="Calibri" w:cs="Times New Roman"/>
                <w:sz w:val="16"/>
                <w:szCs w:val="16"/>
              </w:rPr>
              <w:t>p</w:t>
            </w:r>
            <w:proofErr w:type="spellEnd"/>
            <w:r w:rsidRPr="0083567D">
              <w:rPr>
                <w:rFonts w:ascii="Calibri" w:eastAsia="Times New Roman" w:hAnsi="Calibri" w:cs="Times New Roman"/>
                <w:sz w:val="22"/>
              </w:rPr>
              <w:t>)</w:t>
            </w:r>
          </w:p>
        </w:tc>
        <w:tc>
          <w:tcPr>
            <w:tcW w:w="1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67D" w:rsidRPr="0083567D" w:rsidRDefault="0083567D" w:rsidP="0083567D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567D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</w:p>
        </w:tc>
        <w:tc>
          <w:tcPr>
            <w:tcW w:w="1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3567D" w:rsidRPr="0083567D" w:rsidRDefault="0083567D" w:rsidP="0083567D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567D">
              <w:rPr>
                <w:rFonts w:ascii="Calibri" w:eastAsia="Times New Roman" w:hAnsi="Calibri" w:cs="Times New Roman"/>
                <w:color w:val="000000"/>
                <w:sz w:val="22"/>
              </w:rPr>
              <w:t>BTU/</w:t>
            </w:r>
            <w:proofErr w:type="spellStart"/>
            <w:r w:rsidRPr="0083567D">
              <w:rPr>
                <w:rFonts w:ascii="Calibri" w:eastAsia="Times New Roman" w:hAnsi="Calibri" w:cs="Times New Roman"/>
                <w:color w:val="000000"/>
                <w:sz w:val="22"/>
              </w:rPr>
              <w:t>lb</w:t>
            </w:r>
            <w:r w:rsidRPr="0083567D">
              <w:rPr>
                <w:rFonts w:ascii="Calibri" w:eastAsia="Times New Roman" w:hAnsi="Calibri" w:cs="Times New Roman"/>
                <w:color w:val="000000"/>
                <w:sz w:val="22"/>
                <w:vertAlign w:val="superscript"/>
              </w:rPr>
              <w:t>o</w:t>
            </w:r>
            <w:r w:rsidRPr="0083567D">
              <w:rPr>
                <w:rFonts w:ascii="Calibri" w:eastAsia="Times New Roman" w:hAnsi="Calibri" w:cs="Times New Roman"/>
                <w:color w:val="000000"/>
                <w:sz w:val="22"/>
              </w:rPr>
              <w:t>F</w:t>
            </w:r>
            <w:proofErr w:type="spellEnd"/>
          </w:p>
        </w:tc>
      </w:tr>
      <w:tr w:rsidR="0083567D" w:rsidRPr="0083567D" w:rsidTr="000716C4">
        <w:trPr>
          <w:trHeight w:val="300"/>
        </w:trPr>
        <w:tc>
          <w:tcPr>
            <w:tcW w:w="56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54B56"/>
            <w:noWrap/>
            <w:vAlign w:val="bottom"/>
            <w:hideMark/>
          </w:tcPr>
          <w:p w:rsidR="0083567D" w:rsidRPr="0083567D" w:rsidRDefault="0083567D" w:rsidP="0083567D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</w:pPr>
            <w:r w:rsidRPr="0083567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</w:rPr>
              <w:t>Recovery Efficiency (E</w:t>
            </w:r>
            <w:r w:rsidRPr="0083567D">
              <w:rPr>
                <w:rFonts w:ascii="Calibri" w:eastAsia="Times New Roman" w:hAnsi="Calibri" w:cs="Times New Roman"/>
                <w:sz w:val="16"/>
                <w:szCs w:val="16"/>
              </w:rPr>
              <w:t>T</w:t>
            </w:r>
            <w:r w:rsidRPr="0083567D">
              <w:rPr>
                <w:rFonts w:ascii="Calibri" w:eastAsia="Times New Roman" w:hAnsi="Calibri" w:cs="Times New Roman"/>
                <w:sz w:val="22"/>
              </w:rPr>
              <w:t>)</w:t>
            </w:r>
          </w:p>
        </w:tc>
        <w:tc>
          <w:tcPr>
            <w:tcW w:w="13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67D" w:rsidRPr="0083567D" w:rsidRDefault="0083567D" w:rsidP="0083567D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83567D">
              <w:rPr>
                <w:rFonts w:ascii="Calibri" w:eastAsia="Times New Roman" w:hAnsi="Calibri" w:cs="Times New Roman"/>
                <w:color w:val="000000"/>
                <w:sz w:val="22"/>
              </w:rPr>
              <w:t>0.78</w:t>
            </w:r>
          </w:p>
        </w:tc>
        <w:tc>
          <w:tcPr>
            <w:tcW w:w="1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3567D" w:rsidRPr="0083567D" w:rsidRDefault="0083567D" w:rsidP="0083567D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</w:tr>
    </w:tbl>
    <w:p w:rsidR="00221B60" w:rsidRPr="00254183" w:rsidRDefault="00221B60" w:rsidP="00221B60">
      <w:pPr>
        <w:pStyle w:val="ACoverDate"/>
        <w:rPr>
          <w:rFonts w:eastAsiaTheme="minorEastAsia"/>
        </w:rPr>
      </w:pPr>
    </w:p>
    <w:p w:rsidR="00E34E8A" w:rsidRDefault="00E34E8A" w:rsidP="00E34E8A">
      <w:pPr>
        <w:pStyle w:val="Caption"/>
      </w:pPr>
      <w:r>
        <w:t xml:space="preserve">Table </w:t>
      </w:r>
      <w:fldSimple w:instr=" SEQ Table \* ARABIC ">
        <w:r w:rsidR="00CF333B">
          <w:rPr>
            <w:noProof/>
          </w:rPr>
          <w:t>6</w:t>
        </w:r>
      </w:fldSimple>
      <w:r>
        <w:t xml:space="preserve"> – Calculated Energy Savings</w:t>
      </w:r>
    </w:p>
    <w:tbl>
      <w:tblPr>
        <w:tblW w:w="7273" w:type="dxa"/>
        <w:tblInd w:w="108" w:type="dxa"/>
        <w:tblLook w:val="04A0" w:firstRow="1" w:lastRow="0" w:firstColumn="1" w:lastColumn="0" w:noHBand="0" w:noVBand="1"/>
      </w:tblPr>
      <w:tblGrid>
        <w:gridCol w:w="1710"/>
        <w:gridCol w:w="2160"/>
        <w:gridCol w:w="1860"/>
        <w:gridCol w:w="1543"/>
      </w:tblGrid>
      <w:tr w:rsidR="007C7F09" w:rsidRPr="00287C29" w:rsidTr="007C7F09">
        <w:trPr>
          <w:trHeight w:val="151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noWrap/>
            <w:vAlign w:val="bottom"/>
            <w:hideMark/>
          </w:tcPr>
          <w:p w:rsidR="007C7F09" w:rsidRPr="00287C29" w:rsidRDefault="007C7F09" w:rsidP="007C7F09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vAlign w:val="bottom"/>
            <w:hideMark/>
          </w:tcPr>
          <w:p w:rsidR="007C7F09" w:rsidRPr="00287C29" w:rsidRDefault="007C7F09" w:rsidP="007C7F09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Baseline Natural Gas Consumption (Therms/Year)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vAlign w:val="bottom"/>
            <w:hideMark/>
          </w:tcPr>
          <w:p w:rsidR="007C7F09" w:rsidRPr="00287C29" w:rsidRDefault="007C7F09" w:rsidP="007C7F09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Post-Installation Natural Gas Consumption (Therms/Year)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vAlign w:val="bottom"/>
            <w:hideMark/>
          </w:tcPr>
          <w:p w:rsidR="007C7F09" w:rsidRPr="00287C29" w:rsidRDefault="007C7F09" w:rsidP="007C7F09">
            <w:pPr>
              <w:spacing w:before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Natural Gas Savings (Therms/Year)</w:t>
            </w:r>
          </w:p>
        </w:tc>
      </w:tr>
      <w:tr w:rsidR="00915E20" w:rsidRPr="00287C29" w:rsidTr="00EF4B1B">
        <w:trPr>
          <w:trHeight w:val="30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noWrap/>
            <w:vAlign w:val="bottom"/>
            <w:hideMark/>
          </w:tcPr>
          <w:p w:rsidR="00915E20" w:rsidRPr="00287C29" w:rsidRDefault="00915E20" w:rsidP="003131AE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Hospitality 1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E20" w:rsidRPr="00287C29" w:rsidRDefault="00915E20" w:rsidP="00B0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37.34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E20" w:rsidRPr="00287C29" w:rsidRDefault="00915E20" w:rsidP="00B0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24.89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5E20" w:rsidRPr="00287C29" w:rsidRDefault="00915E20" w:rsidP="00B0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12.45</w:t>
            </w:r>
          </w:p>
        </w:tc>
      </w:tr>
      <w:tr w:rsidR="00915E20" w:rsidRPr="00287C29" w:rsidTr="00EF4B1B">
        <w:trPr>
          <w:trHeight w:val="30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noWrap/>
            <w:vAlign w:val="bottom"/>
            <w:hideMark/>
          </w:tcPr>
          <w:p w:rsidR="00915E20" w:rsidRPr="00287C29" w:rsidRDefault="00915E20" w:rsidP="003131AE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lastRenderedPageBreak/>
              <w:t>Hospitality 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15E20" w:rsidRPr="00287C29" w:rsidRDefault="00287C29" w:rsidP="00B0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  <w:r w:rsidR="00915E20" w:rsidRPr="00287C29">
              <w:rPr>
                <w:rFonts w:ascii="Calibri" w:hAnsi="Calibri"/>
                <w:color w:val="000000"/>
                <w:sz w:val="20"/>
                <w:szCs w:val="20"/>
              </w:rPr>
              <w:t>.70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15E20" w:rsidRPr="00287C29" w:rsidRDefault="00915E20" w:rsidP="00287C2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287C29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r w:rsidR="00287C29"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5E20" w:rsidRPr="00287C29" w:rsidRDefault="00287C29" w:rsidP="00B0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14.90</w:t>
            </w:r>
          </w:p>
        </w:tc>
      </w:tr>
      <w:tr w:rsidR="00B02733" w:rsidRPr="00287C29" w:rsidTr="00EF4B1B">
        <w:trPr>
          <w:trHeight w:val="31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054B56"/>
            <w:noWrap/>
            <w:vAlign w:val="bottom"/>
            <w:hideMark/>
          </w:tcPr>
          <w:p w:rsidR="00B02733" w:rsidRPr="00287C29" w:rsidRDefault="00915E20" w:rsidP="007C7F09">
            <w:pPr>
              <w:spacing w:before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highlight w:val="red"/>
              </w:rPr>
            </w:pPr>
            <w:r w:rsidRPr="00287C29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 xml:space="preserve"> Schools</w:t>
            </w: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02733" w:rsidRPr="00287C29" w:rsidRDefault="00B02733" w:rsidP="00B02733">
            <w:pPr>
              <w:jc w:val="center"/>
              <w:rPr>
                <w:rFonts w:ascii="Calibri" w:hAnsi="Calibri"/>
                <w:color w:val="000000"/>
                <w:sz w:val="20"/>
                <w:szCs w:val="20"/>
                <w:highlight w:val="red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18.73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02733" w:rsidRPr="00287C29" w:rsidRDefault="00B02733" w:rsidP="00B02733">
            <w:pPr>
              <w:jc w:val="center"/>
              <w:rPr>
                <w:rFonts w:ascii="Calibri" w:hAnsi="Calibri"/>
                <w:color w:val="000000"/>
                <w:sz w:val="20"/>
                <w:szCs w:val="20"/>
                <w:highlight w:val="red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12.49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02733" w:rsidRPr="00287C29" w:rsidRDefault="00B02733" w:rsidP="00B027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87C29">
              <w:rPr>
                <w:rFonts w:ascii="Calibri" w:hAnsi="Calibri"/>
                <w:color w:val="000000"/>
                <w:sz w:val="20"/>
                <w:szCs w:val="20"/>
              </w:rPr>
              <w:t>6.24</w:t>
            </w:r>
          </w:p>
        </w:tc>
      </w:tr>
    </w:tbl>
    <w:p w:rsidR="00B40366" w:rsidRDefault="00B40366" w:rsidP="002C588D">
      <w:pPr>
        <w:spacing w:before="0" w:after="200"/>
        <w:rPr>
          <w:rFonts w:eastAsiaTheme="majorEastAsia" w:cstheme="majorBidi"/>
          <w:bCs/>
          <w:caps/>
          <w:color w:val="054B56"/>
          <w:sz w:val="24"/>
          <w:szCs w:val="26"/>
        </w:rPr>
      </w:pPr>
    </w:p>
    <w:p w:rsidR="00CF333B" w:rsidRDefault="00CF333B" w:rsidP="00CF333B">
      <w:pPr>
        <w:pStyle w:val="Heading2"/>
      </w:pPr>
      <w:r>
        <w:t>Measure cost</w:t>
      </w:r>
    </w:p>
    <w:p w:rsidR="00CF333B" w:rsidRDefault="00CF333B" w:rsidP="00CF333B">
      <w:r>
        <w:t>The cost for installing this measure includes material and labor costs.  Material cost per showerhead is found at $10</w:t>
      </w:r>
      <w:r w:rsidR="00E07E13">
        <w:t xml:space="preserve"> from i</w:t>
      </w:r>
      <w:r w:rsidR="005867E3">
        <w:t>nternet retailers</w:t>
      </w:r>
      <w:r>
        <w:t xml:space="preserve">.  Three </w:t>
      </w:r>
      <w:r w:rsidR="004617EE">
        <w:t xml:space="preserve">showerhead installs </w:t>
      </w:r>
      <w:r>
        <w:t>per hour are assumed in the labor cost calculations.  A value of $58.80 per hour is found in READI v2.3.0 under Domestic Hot Water – Storage Water Heater.  The tables below provide location-specific and weighted labor costs based on DEER material and labor multipliers.</w:t>
      </w:r>
    </w:p>
    <w:p w:rsidR="0090315E" w:rsidRDefault="0090315E" w:rsidP="00CF333B"/>
    <w:p w:rsidR="00CF333B" w:rsidRDefault="00CF333B" w:rsidP="00CF333B">
      <w:pPr>
        <w:pStyle w:val="Caption"/>
      </w:pPr>
      <w:r>
        <w:t xml:space="preserve">Table </w:t>
      </w:r>
      <w:fldSimple w:instr=" SEQ Table \* ARABIC ">
        <w:r>
          <w:rPr>
            <w:noProof/>
          </w:rPr>
          <w:t>7</w:t>
        </w:r>
      </w:fldSimple>
      <w:r>
        <w:t xml:space="preserve"> – Material and Labor Costs by Building Location</w:t>
      </w:r>
    </w:p>
    <w:tbl>
      <w:tblPr>
        <w:tblW w:w="6400" w:type="dxa"/>
        <w:tblInd w:w="98" w:type="dxa"/>
        <w:tblLook w:val="04A0" w:firstRow="1" w:lastRow="0" w:firstColumn="1" w:lastColumn="0" w:noHBand="0" w:noVBand="1"/>
      </w:tblPr>
      <w:tblGrid>
        <w:gridCol w:w="1090"/>
        <w:gridCol w:w="1098"/>
        <w:gridCol w:w="1098"/>
        <w:gridCol w:w="1584"/>
        <w:gridCol w:w="1530"/>
      </w:tblGrid>
      <w:tr w:rsidR="00CF333B" w:rsidRPr="00CF333B" w:rsidTr="00CF333B">
        <w:trPr>
          <w:trHeight w:val="900"/>
        </w:trPr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Building Location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Material Multiplier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sz w:val="22"/>
              </w:rPr>
            </w:pPr>
            <w:r>
              <w:rPr>
                <w:rFonts w:ascii="Calibri" w:eastAsia="Times New Roman" w:hAnsi="Calibri" w:cs="Times New Roman"/>
                <w:sz w:val="22"/>
              </w:rPr>
              <w:t>Labor Multiplier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>Showerhead Material Cost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>Showerhead Labor Cost</w:t>
            </w:r>
          </w:p>
        </w:tc>
      </w:tr>
      <w:tr w:rsidR="00CF333B" w:rsidRPr="00CF333B" w:rsidTr="00CF333B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CZ05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0.96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1.067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$             9.60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$           20.91 </w:t>
            </w:r>
          </w:p>
        </w:tc>
      </w:tr>
      <w:tr w:rsidR="00CF333B" w:rsidRPr="00CF333B" w:rsidTr="00CF333B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CZ06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1.002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1.076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$           10.02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$           21.09 </w:t>
            </w:r>
          </w:p>
        </w:tc>
      </w:tr>
      <w:tr w:rsidR="00CF333B" w:rsidRPr="00CF333B" w:rsidTr="00CF333B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CZ08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0.959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1.067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$             9.59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$           20.91 </w:t>
            </w:r>
          </w:p>
        </w:tc>
      </w:tr>
      <w:tr w:rsidR="00CF333B" w:rsidRPr="00CF333B" w:rsidTr="00CF333B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CZ09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1.001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1.075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$           10.01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$           21.07 </w:t>
            </w:r>
          </w:p>
        </w:tc>
      </w:tr>
      <w:tr w:rsidR="00CF333B" w:rsidRPr="00CF333B" w:rsidTr="00CF333B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CZ10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1.001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1.076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$           10.01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$           21.09 </w:t>
            </w:r>
          </w:p>
        </w:tc>
      </w:tr>
      <w:tr w:rsidR="00CF333B" w:rsidRPr="00CF333B" w:rsidTr="00CF333B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CZ13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1.003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1.158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$           10.03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$           22.70 </w:t>
            </w:r>
          </w:p>
        </w:tc>
      </w:tr>
      <w:tr w:rsidR="00CF333B" w:rsidRPr="00CF333B" w:rsidTr="00CF333B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CZ14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0.96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1.04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$             9.60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$           20.38 </w:t>
            </w:r>
          </w:p>
        </w:tc>
      </w:tr>
      <w:tr w:rsidR="00CF333B" w:rsidRPr="00CF333B" w:rsidTr="00CF333B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CZ15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0.959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1.067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$             9.59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$           20.91 </w:t>
            </w:r>
          </w:p>
        </w:tc>
      </w:tr>
      <w:tr w:rsidR="00CF333B" w:rsidRPr="00CF333B" w:rsidTr="00CF333B">
        <w:trPr>
          <w:trHeight w:val="300"/>
        </w:trPr>
        <w:tc>
          <w:tcPr>
            <w:tcW w:w="1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CZ16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0.96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jc w:val="right"/>
              <w:rPr>
                <w:rFonts w:ascii="Calibri" w:eastAsia="Times New Roman" w:hAnsi="Calibri" w:cs="Times New Roman"/>
                <w:sz w:val="22"/>
              </w:rPr>
            </w:pPr>
            <w:r w:rsidRPr="00CF333B">
              <w:rPr>
                <w:rFonts w:ascii="Calibri" w:eastAsia="Times New Roman" w:hAnsi="Calibri" w:cs="Times New Roman"/>
                <w:sz w:val="22"/>
              </w:rPr>
              <w:t>1.083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$             9.60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333B" w:rsidRPr="00CF333B" w:rsidRDefault="00CF333B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 $           21.23 </w:t>
            </w:r>
          </w:p>
        </w:tc>
      </w:tr>
    </w:tbl>
    <w:p w:rsidR="00CF333B" w:rsidRDefault="00CF333B" w:rsidP="002C588D">
      <w:pPr>
        <w:spacing w:before="0" w:after="200"/>
        <w:rPr>
          <w:rFonts w:eastAsiaTheme="majorEastAsia" w:cstheme="majorBidi"/>
          <w:bCs/>
          <w:caps/>
          <w:color w:val="054B56"/>
          <w:sz w:val="24"/>
          <w:szCs w:val="26"/>
        </w:rPr>
      </w:pPr>
    </w:p>
    <w:p w:rsidR="00CF333B" w:rsidRDefault="00CF333B" w:rsidP="00CF333B">
      <w:pPr>
        <w:pStyle w:val="Caption"/>
      </w:pPr>
      <w:r>
        <w:t xml:space="preserve">Table </w:t>
      </w:r>
      <w:fldSimple w:instr=" SEQ Table \* ARABIC ">
        <w:r>
          <w:rPr>
            <w:noProof/>
          </w:rPr>
          <w:t>8</w:t>
        </w:r>
      </w:fldSimple>
      <w:r>
        <w:t xml:space="preserve"> – Location-Weighted Costs</w:t>
      </w:r>
    </w:p>
    <w:tbl>
      <w:tblPr>
        <w:tblW w:w="3515" w:type="dxa"/>
        <w:tblInd w:w="103" w:type="dxa"/>
        <w:tblLook w:val="04A0" w:firstRow="1" w:lastRow="0" w:firstColumn="1" w:lastColumn="0" w:noHBand="0" w:noVBand="1"/>
      </w:tblPr>
      <w:tblGrid>
        <w:gridCol w:w="976"/>
        <w:gridCol w:w="1459"/>
        <w:gridCol w:w="1080"/>
      </w:tblGrid>
      <w:tr w:rsidR="00AD3A1A" w:rsidRPr="00CF333B" w:rsidTr="00AD3A1A">
        <w:trPr>
          <w:trHeight w:val="315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A1A" w:rsidRPr="00CF333B" w:rsidRDefault="00AD3A1A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A1A" w:rsidRPr="00CF333B" w:rsidRDefault="00AD3A1A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Hospitality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A1A" w:rsidRPr="00CF333B" w:rsidRDefault="00AD3A1A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</w:rPr>
              <w:t>School</w:t>
            </w:r>
          </w:p>
        </w:tc>
      </w:tr>
      <w:tr w:rsidR="00AD3A1A" w:rsidRPr="00CF333B" w:rsidTr="00AD3A1A">
        <w:trPr>
          <w:trHeight w:val="315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A1A" w:rsidRPr="00CF333B" w:rsidRDefault="00AD3A1A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>Material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A1A" w:rsidRDefault="00AD3A1A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$          9.86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A1A" w:rsidRDefault="00AD3A1A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$    9.86 </w:t>
            </w:r>
          </w:p>
        </w:tc>
      </w:tr>
      <w:tr w:rsidR="00AD3A1A" w:rsidRPr="00CF333B" w:rsidTr="00AD3A1A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A1A" w:rsidRPr="00CF333B" w:rsidRDefault="00AD3A1A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>Labor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A1A" w:rsidRDefault="00AD3A1A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$        21.06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A1A" w:rsidRDefault="00AD3A1A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$  21.03 </w:t>
            </w:r>
          </w:p>
        </w:tc>
      </w:tr>
      <w:tr w:rsidR="00AD3A1A" w:rsidRPr="00CF333B" w:rsidTr="00AD3A1A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A1A" w:rsidRPr="00CF333B" w:rsidRDefault="00AD3A1A" w:rsidP="00CF333B">
            <w:pPr>
              <w:spacing w:before="0" w:line="240" w:lineRule="auto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CF333B">
              <w:rPr>
                <w:rFonts w:ascii="Calibri" w:eastAsia="Times New Roman" w:hAnsi="Calibri" w:cs="Times New Roman"/>
                <w:color w:val="000000"/>
                <w:sz w:val="22"/>
              </w:rPr>
              <w:t>Total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A1A" w:rsidRDefault="00AD3A1A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$        30.91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A1A" w:rsidRDefault="00AD3A1A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 xml:space="preserve"> $  30.89 </w:t>
            </w:r>
          </w:p>
        </w:tc>
      </w:tr>
    </w:tbl>
    <w:p w:rsidR="00CF333B" w:rsidRDefault="00CF333B" w:rsidP="002C588D">
      <w:pPr>
        <w:spacing w:before="0" w:after="200"/>
        <w:rPr>
          <w:rFonts w:eastAsiaTheme="majorEastAsia" w:cstheme="majorBidi"/>
          <w:bCs/>
          <w:caps/>
          <w:color w:val="054B56"/>
          <w:sz w:val="24"/>
          <w:szCs w:val="26"/>
        </w:rPr>
      </w:pPr>
    </w:p>
    <w:p w:rsidR="00CF333B" w:rsidRPr="002C588D" w:rsidRDefault="00CF333B" w:rsidP="002C588D">
      <w:pPr>
        <w:spacing w:before="0" w:after="200"/>
        <w:rPr>
          <w:rFonts w:eastAsiaTheme="majorEastAsia" w:cstheme="majorBidi"/>
          <w:bCs/>
          <w:caps/>
          <w:color w:val="054B56"/>
          <w:sz w:val="24"/>
          <w:szCs w:val="26"/>
        </w:rPr>
      </w:pPr>
    </w:p>
    <w:sectPr w:rsidR="00CF333B" w:rsidRPr="002C588D" w:rsidSect="00FF755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2240" w:h="15840"/>
      <w:pgMar w:top="114" w:right="1080" w:bottom="1584" w:left="1080" w:header="288" w:footer="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D01" w:rsidRDefault="00EC3D01" w:rsidP="00553B67">
      <w:pPr>
        <w:spacing w:line="240" w:lineRule="auto"/>
      </w:pPr>
      <w:r>
        <w:separator/>
      </w:r>
    </w:p>
  </w:endnote>
  <w:endnote w:type="continuationSeparator" w:id="0">
    <w:p w:rsidR="00EC3D01" w:rsidRDefault="00EC3D01" w:rsidP="00553B67">
      <w:pPr>
        <w:spacing w:line="240" w:lineRule="auto"/>
      </w:pPr>
      <w:r>
        <w:continuationSeparator/>
      </w:r>
    </w:p>
  </w:endnote>
  <w:endnote w:type="continuationNotice" w:id="1">
    <w:p w:rsidR="00EC3D01" w:rsidRDefault="00EC3D01">
      <w:pPr>
        <w:spacing w:before="0" w:line="240" w:lineRule="auto"/>
      </w:pPr>
    </w:p>
  </w:endnote>
  <w:endnote w:id="2">
    <w:p w:rsidR="007F14CC" w:rsidRDefault="007F14CC">
      <w:pPr>
        <w:pStyle w:val="EndnoteText"/>
      </w:pPr>
      <w:r>
        <w:rPr>
          <w:rStyle w:val="EndnoteReference"/>
        </w:rPr>
        <w:endnoteRef/>
      </w:r>
      <w:r>
        <w:t xml:space="preserve"> </w:t>
      </w:r>
      <w:proofErr w:type="gramStart"/>
      <w:r>
        <w:t>Seattle Public Utilities.</w:t>
      </w:r>
      <w:proofErr w:type="gramEnd"/>
      <w:r>
        <w:t xml:space="preserve"> (2002), </w:t>
      </w:r>
      <w:r w:rsidRPr="007F14CC">
        <w:rPr>
          <w:i/>
        </w:rPr>
        <w:t>Hotel Water Conservation A Seattle Demonstration</w:t>
      </w:r>
    </w:p>
  </w:endnote>
  <w:endnote w:id="3">
    <w:p w:rsidR="009F2D33" w:rsidRPr="00E002BF" w:rsidRDefault="009F2D33" w:rsidP="009F2D33">
      <w:pPr>
        <w:pStyle w:val="EndnoteText"/>
        <w:rPr>
          <w:rFonts w:ascii="Calibri" w:hAnsi="Calibri"/>
        </w:rPr>
      </w:pPr>
      <w:r>
        <w:rPr>
          <w:rStyle w:val="EndnoteReference"/>
        </w:rPr>
        <w:endnoteRef/>
      </w:r>
      <w:r>
        <w:t xml:space="preserve"> </w:t>
      </w:r>
      <w:proofErr w:type="spellStart"/>
      <w:r w:rsidRPr="00E002BF">
        <w:rPr>
          <w:rFonts w:ascii="Calibri" w:hAnsi="Calibri" w:cs="Arial"/>
          <w:bCs/>
        </w:rPr>
        <w:t>Dziegielewsk</w:t>
      </w:r>
      <w:r w:rsidRPr="00E002BF">
        <w:rPr>
          <w:rFonts w:ascii="Calibri" w:hAnsi="Calibri"/>
        </w:rPr>
        <w:t>i</w:t>
      </w:r>
      <w:proofErr w:type="spellEnd"/>
      <w:r w:rsidRPr="00E002BF">
        <w:rPr>
          <w:rFonts w:ascii="Calibri" w:hAnsi="Calibri"/>
        </w:rPr>
        <w:t xml:space="preserve">, B., Kiefer, J., </w:t>
      </w:r>
      <w:proofErr w:type="spellStart"/>
      <w:r w:rsidRPr="00E002BF">
        <w:rPr>
          <w:rFonts w:ascii="Calibri" w:hAnsi="Calibri"/>
        </w:rPr>
        <w:t>Opitz</w:t>
      </w:r>
      <w:proofErr w:type="spellEnd"/>
      <w:r w:rsidRPr="00E002BF">
        <w:rPr>
          <w:rFonts w:ascii="Calibri" w:hAnsi="Calibri"/>
        </w:rPr>
        <w:t xml:space="preserve">, E., Porter, G., Lantz, G. (2000) </w:t>
      </w:r>
      <w:r w:rsidRPr="00E002BF">
        <w:rPr>
          <w:rFonts w:ascii="Calibri" w:hAnsi="Calibri"/>
          <w:i/>
        </w:rPr>
        <w:t>Commercial and Institutional End Uses of Water</w:t>
      </w:r>
    </w:p>
  </w:endnote>
  <w:endnote w:id="4">
    <w:p w:rsidR="009F2D33" w:rsidRPr="00E002BF" w:rsidRDefault="009F2D33" w:rsidP="009F2D33">
      <w:pPr>
        <w:pStyle w:val="EndnoteText"/>
        <w:rPr>
          <w:rFonts w:ascii="Calibri" w:hAnsi="Calibri"/>
        </w:rPr>
      </w:pPr>
      <w:r w:rsidRPr="00E002BF">
        <w:rPr>
          <w:rStyle w:val="EndnoteReference"/>
          <w:rFonts w:ascii="Calibri" w:hAnsi="Calibri"/>
        </w:rPr>
        <w:endnoteRef/>
      </w:r>
      <w:r w:rsidRPr="00E002BF">
        <w:rPr>
          <w:rFonts w:ascii="Calibri" w:hAnsi="Calibri"/>
        </w:rPr>
        <w:t xml:space="preserve"> Southern California Lodgi</w:t>
      </w:r>
      <w:r>
        <w:rPr>
          <w:rFonts w:ascii="Calibri" w:hAnsi="Calibri"/>
        </w:rPr>
        <w:t xml:space="preserve">ng Forecast, PKF Consulting USA </w:t>
      </w:r>
      <w:r w:rsidRPr="00E002BF">
        <w:rPr>
          <w:rFonts w:ascii="Calibri" w:hAnsi="Calibri"/>
        </w:rPr>
        <w:t>https://www.cpp.edu/~collins/partners/outlook.../PKFConsulting.pdf</w:t>
      </w:r>
    </w:p>
  </w:endnote>
  <w:endnote w:id="5">
    <w:p w:rsidR="009F2D33" w:rsidRPr="00E002BF" w:rsidRDefault="009F2D33" w:rsidP="009F2D33">
      <w:pPr>
        <w:pStyle w:val="EndnoteText"/>
        <w:rPr>
          <w:rFonts w:ascii="Calibri" w:hAnsi="Calibri"/>
        </w:rPr>
      </w:pPr>
      <w:r w:rsidRPr="00E002BF">
        <w:rPr>
          <w:rStyle w:val="EndnoteReference"/>
          <w:rFonts w:ascii="Calibri" w:hAnsi="Calibri"/>
        </w:rPr>
        <w:endnoteRef/>
      </w:r>
      <w:r w:rsidRPr="00E002BF">
        <w:rPr>
          <w:rFonts w:ascii="Calibri" w:hAnsi="Calibri"/>
        </w:rPr>
        <w:t xml:space="preserve"> </w:t>
      </w:r>
      <w:proofErr w:type="gramStart"/>
      <w:r w:rsidRPr="00E002BF">
        <w:rPr>
          <w:rFonts w:ascii="Calibri" w:eastAsia="Times New Roman" w:hAnsi="Calibri"/>
          <w:color w:val="000000"/>
        </w:rPr>
        <w:t>2013 Lodging Industry Profile.</w:t>
      </w:r>
      <w:proofErr w:type="gramEnd"/>
      <w:r w:rsidRPr="00E002BF">
        <w:rPr>
          <w:rFonts w:ascii="Calibri" w:eastAsia="Times New Roman" w:hAnsi="Calibri"/>
          <w:color w:val="000000"/>
        </w:rPr>
        <w:t xml:space="preserve"> American Hotel and Lodging Association</w:t>
      </w:r>
    </w:p>
  </w:endnote>
  <w:endnote w:id="6">
    <w:p w:rsidR="007F14CC" w:rsidRDefault="007F14CC">
      <w:pPr>
        <w:pStyle w:val="EndnoteText"/>
      </w:pPr>
      <w:r>
        <w:rPr>
          <w:rStyle w:val="EndnoteReference"/>
        </w:rPr>
        <w:endnoteRef/>
      </w:r>
      <w:r w:rsidR="009D07BE">
        <w:t xml:space="preserve"> </w:t>
      </w:r>
      <w:proofErr w:type="gramStart"/>
      <w:r w:rsidR="00C43E1C" w:rsidRPr="00C43E1C">
        <w:t xml:space="preserve">Table D-7 Page 5; </w:t>
      </w:r>
      <w:proofErr w:type="spellStart"/>
      <w:r w:rsidR="00C43E1C" w:rsidRPr="00C43E1C">
        <w:t>Gleick</w:t>
      </w:r>
      <w:proofErr w:type="spellEnd"/>
      <w:r w:rsidR="00C43E1C" w:rsidRPr="00C43E1C">
        <w:t xml:space="preserve">, P., </w:t>
      </w:r>
      <w:proofErr w:type="spellStart"/>
      <w:r w:rsidR="00C43E1C" w:rsidRPr="00C43E1C">
        <w:t>Haasz</w:t>
      </w:r>
      <w:proofErr w:type="spellEnd"/>
      <w:r w:rsidR="00C43E1C" w:rsidRPr="00C43E1C">
        <w:t xml:space="preserve">, D., </w:t>
      </w:r>
      <w:proofErr w:type="spellStart"/>
      <w:r w:rsidR="00C43E1C" w:rsidRPr="00C43E1C">
        <w:t>Henges-Jeck</w:t>
      </w:r>
      <w:proofErr w:type="spellEnd"/>
      <w:r w:rsidR="00C43E1C" w:rsidRPr="00C43E1C">
        <w:t>, C., Srinivasan, V., Wolff, G., Cushing, K. K., et al. (2003).</w:t>
      </w:r>
      <w:proofErr w:type="gramEnd"/>
      <w:r w:rsidR="00C43E1C" w:rsidRPr="00C43E1C">
        <w:t xml:space="preserve"> Waste Not, Want Not: The Potential for Urban Water Conservation in California. Pacific Institute.</w:t>
      </w:r>
    </w:p>
  </w:endnote>
  <w:endnote w:id="7">
    <w:p w:rsidR="00B361F7" w:rsidRDefault="00B361F7" w:rsidP="00722B26">
      <w:pPr>
        <w:pStyle w:val="EndnoteText"/>
      </w:pPr>
      <w:r w:rsidRPr="00722B26">
        <w:rPr>
          <w:rStyle w:val="EndnoteReference"/>
          <w:rFonts w:ascii="Calibri" w:hAnsi="Calibri"/>
        </w:rPr>
        <w:endnoteRef/>
      </w:r>
      <w:r w:rsidRPr="00722B26">
        <w:rPr>
          <w:rFonts w:ascii="Calibri" w:hAnsi="Calibri"/>
        </w:rPr>
        <w:t xml:space="preserve"> California Public Utilities Commission, Energy Division</w:t>
      </w:r>
      <w:r>
        <w:rPr>
          <w:rFonts w:ascii="Calibri" w:hAnsi="Calibri"/>
        </w:rPr>
        <w:t>,</w:t>
      </w:r>
      <w:r w:rsidRPr="00722B26">
        <w:rPr>
          <w:rFonts w:ascii="Calibri" w:hAnsi="Calibri"/>
        </w:rPr>
        <w:t xml:space="preserve"> WORKPAPER DISPOSITION FOR Water Fixtures</w:t>
      </w:r>
      <w:r>
        <w:rPr>
          <w:rFonts w:ascii="Calibri" w:hAnsi="Calibri"/>
        </w:rPr>
        <w:t xml:space="preserve"> (2013)</w:t>
      </w:r>
    </w:p>
  </w:endnote>
  <w:endnote w:id="8">
    <w:p w:rsidR="00B361F7" w:rsidRDefault="00B361F7">
      <w:pPr>
        <w:pStyle w:val="EndnoteText"/>
      </w:pPr>
      <w:r>
        <w:rPr>
          <w:rStyle w:val="EndnoteReference"/>
        </w:rPr>
        <w:endnoteRef/>
      </w:r>
      <w:r>
        <w:t xml:space="preserve"> Southern California Gas Company, Workpaper SCGWP100303A, Revision 3 (2013)</w:t>
      </w:r>
    </w:p>
    <w:p w:rsidR="0019147B" w:rsidRDefault="0019147B">
      <w:pPr>
        <w:pStyle w:val="EndnoteText"/>
      </w:pPr>
    </w:p>
    <w:p w:rsidR="0019147B" w:rsidRDefault="0019147B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1F7" w:rsidRDefault="00B361F7" w:rsidP="006743FB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AE3FC8">
      <w:rPr>
        <w:noProof/>
      </w:rPr>
      <w:t>2</w:t>
    </w:r>
    <w:r>
      <w:fldChar w:fldCharType="end"/>
    </w:r>
  </w:p>
  <w:p w:rsidR="00B361F7" w:rsidRPr="00F16D00" w:rsidRDefault="00B361F7" w:rsidP="00355E43">
    <w:pPr>
      <w:tabs>
        <w:tab w:val="left" w:pos="550"/>
        <w:tab w:val="left" w:pos="4360"/>
        <w:tab w:val="right" w:pos="10080"/>
      </w:tabs>
      <w:spacing w:line="23" w:lineRule="atLeast"/>
      <w:ind w:right="360"/>
      <w:jc w:val="right"/>
      <w:rPr>
        <w:color w:val="F50000" w:themeColor="accent6"/>
        <w:sz w:val="16"/>
        <w:szCs w:val="16"/>
      </w:rPr>
    </w:pPr>
    <w:r>
      <w:rPr>
        <w:noProof/>
        <w:color w:val="F50000" w:themeColor="accent6"/>
        <w:sz w:val="16"/>
        <w:szCs w:val="16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ADC1E7E" wp14:editId="498AB6D1">
              <wp:simplePos x="0" y="0"/>
              <wp:positionH relativeFrom="page">
                <wp:posOffset>4457700</wp:posOffset>
              </wp:positionH>
              <wp:positionV relativeFrom="page">
                <wp:posOffset>9418320</wp:posOffset>
              </wp:positionV>
              <wp:extent cx="2628900" cy="228600"/>
              <wp:effectExtent l="0" t="0" r="1270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361F7" w:rsidRPr="00355E43" w:rsidRDefault="00B361F7" w:rsidP="0053066E">
                          <w:pPr>
                            <w:pStyle w:val="TaglineFooter"/>
                          </w:pPr>
                          <w:r w:rsidRPr="00355E43">
                            <w:t>We change the way people use</w:t>
                          </w:r>
                          <w:r>
                            <w:t xml:space="preserve"> </w:t>
                          </w:r>
                          <w:r w:rsidRPr="00355E43">
                            <w:t>energy</w:t>
                          </w:r>
                          <w:r>
                            <w:t>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51pt;margin-top:741.6pt;width:207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" filled="f" stroked="f">
              <v:textbox inset=",,0">
                <w:txbxContent>
                  <w:p w:rsidR="00B361F7" w:rsidRPr="00355E43" w:rsidRDefault="00B361F7" w:rsidP="0053066E">
                    <w:pPr>
                      <w:pStyle w:val="TaglineFooter"/>
                    </w:pPr>
                    <w:r w:rsidRPr="00355E43">
                      <w:t>We change the way people use</w:t>
                    </w:r>
                    <w:r>
                      <w:t xml:space="preserve"> </w:t>
                    </w:r>
                    <w:r w:rsidRPr="00355E43">
                      <w:t>energy</w:t>
                    </w:r>
                    <w:r>
                      <w:t>™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color w:val="F50000" w:themeColor="accent6"/>
        <w:szCs w:val="16"/>
      </w:rPr>
      <w:drawing>
        <wp:anchor distT="0" distB="0" distL="114300" distR="114300" simplePos="0" relativeHeight="251666432" behindDoc="0" locked="1" layoutInCell="1" allowOverlap="1" wp14:anchorId="6994511B" wp14:editId="79F86933">
          <wp:simplePos x="0" y="0"/>
          <wp:positionH relativeFrom="page">
            <wp:posOffset>648970</wp:posOffset>
          </wp:positionH>
          <wp:positionV relativeFrom="page">
            <wp:posOffset>9455150</wp:posOffset>
          </wp:positionV>
          <wp:extent cx="841276" cy="115828"/>
          <wp:effectExtent l="0" t="0" r="0" b="1143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R_logo_rgb_red_0.9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1276" cy="11582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F50000" w:themeColor="accent6"/>
        <w:szCs w:val="16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9E8B50D" wp14:editId="7F76805F">
              <wp:simplePos x="0" y="0"/>
              <wp:positionH relativeFrom="page">
                <wp:align>center</wp:align>
              </wp:positionH>
              <wp:positionV relativeFrom="page">
                <wp:posOffset>9372600</wp:posOffset>
              </wp:positionV>
              <wp:extent cx="6501384" cy="0"/>
              <wp:effectExtent l="0" t="0" r="2667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501384" cy="0"/>
                      </a:xfrm>
                      <a:prstGeom prst="line">
                        <a:avLst/>
                      </a:prstGeom>
                      <a:ln>
                        <a:solidFill>
                          <a:srgbClr val="054B56"/>
                        </a:solidFill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flip:x;z-index:-2516531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" from="0,738pt" to="511.9pt,7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" strokecolor="#054b56" strokeweight="2pt">
              <w10:wrap anchorx="page" anchory="page"/>
              <w10:anchorlock/>
            </v:line>
          </w:pict>
        </mc:Fallback>
      </mc:AlternateContent>
    </w:r>
  </w:p>
  <w:p w:rsidR="00B361F7" w:rsidRDefault="00B361F7"/>
  <w:p w:rsidR="00B361F7" w:rsidRDefault="00B361F7"/>
  <w:p w:rsidR="00B361F7" w:rsidRDefault="00B361F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1F7" w:rsidRDefault="00B361F7" w:rsidP="0077432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F5AAB7C" wp14:editId="04719EF9">
              <wp:simplePos x="0" y="0"/>
              <wp:positionH relativeFrom="page">
                <wp:posOffset>3464560</wp:posOffset>
              </wp:positionH>
              <wp:positionV relativeFrom="page">
                <wp:posOffset>9098280</wp:posOffset>
              </wp:positionV>
              <wp:extent cx="3644900" cy="457200"/>
              <wp:effectExtent l="0" t="0" r="1270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449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361F7" w:rsidRPr="00917294" w:rsidRDefault="00B361F7" w:rsidP="0077432D">
                          <w:pPr>
                            <w:jc w:val="right"/>
                            <w:rPr>
                              <w:color w:val="FF0000"/>
                              <w:sz w:val="26"/>
                              <w:szCs w:val="26"/>
                            </w:rPr>
                          </w:pPr>
                          <w:r w:rsidRPr="00917294">
                            <w:rPr>
                              <w:color w:val="FF0000"/>
                              <w:sz w:val="26"/>
                              <w:szCs w:val="26"/>
                            </w:rPr>
                            <w:t>We change the way people use energy</w:t>
                          </w:r>
                          <w:r>
                            <w:rPr>
                              <w:color w:val="FF0000"/>
                              <w:sz w:val="26"/>
                              <w:szCs w:val="26"/>
                            </w:rPr>
                            <w:t>™</w:t>
                          </w:r>
                        </w:p>
                        <w:p w:rsidR="00B361F7" w:rsidRDefault="00B361F7" w:rsidP="0077432D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272.8pt;margin-top:716.4pt;width:28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" filled="f" stroked="f">
              <v:textbox inset=",,0">
                <w:txbxContent>
                  <w:p w:rsidR="00B361F7" w:rsidRPr="00917294" w:rsidRDefault="00B361F7" w:rsidP="0077432D">
                    <w:pPr>
                      <w:jc w:val="right"/>
                      <w:rPr>
                        <w:color w:val="FF0000"/>
                        <w:sz w:val="26"/>
                        <w:szCs w:val="26"/>
                      </w:rPr>
                    </w:pPr>
                    <w:r w:rsidRPr="00917294">
                      <w:rPr>
                        <w:color w:val="FF0000"/>
                        <w:sz w:val="26"/>
                        <w:szCs w:val="26"/>
                      </w:rPr>
                      <w:t>We change the way people use energy</w:t>
                    </w:r>
                    <w:r>
                      <w:rPr>
                        <w:color w:val="FF0000"/>
                        <w:sz w:val="26"/>
                        <w:szCs w:val="26"/>
                      </w:rPr>
                      <w:t>™</w:t>
                    </w:r>
                  </w:p>
                  <w:p w:rsidR="00B361F7" w:rsidRDefault="00B361F7" w:rsidP="0077432D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5EC71BA" wp14:editId="2AD3BA0C">
              <wp:simplePos x="0" y="0"/>
              <wp:positionH relativeFrom="page">
                <wp:align>center</wp:align>
              </wp:positionH>
              <wp:positionV relativeFrom="page">
                <wp:posOffset>9482455</wp:posOffset>
              </wp:positionV>
              <wp:extent cx="6501384" cy="118872"/>
              <wp:effectExtent l="0" t="0" r="1270" b="8255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01384" cy="118872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0;margin-top:746.65pt;width:511.9pt;height:9.35pt;z-index:251670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" fillcolor="red" stroked="f">
              <w10:wrap anchorx="page" anchory="page"/>
            </v:rect>
          </w:pict>
        </mc:Fallback>
      </mc:AlternateContent>
    </w:r>
    <w:r>
      <w:t>© Copyright 2014 CLEAResult. All rights reserved.</w:t>
    </w:r>
  </w:p>
  <w:p w:rsidR="00B361F7" w:rsidRDefault="00B361F7" w:rsidP="0077432D">
    <w:pPr>
      <w:pStyle w:val="Footer"/>
    </w:pPr>
  </w:p>
  <w:p w:rsidR="00B361F7" w:rsidRDefault="00B361F7" w:rsidP="0077432D">
    <w:pPr>
      <w:pStyle w:val="Footer"/>
    </w:pPr>
  </w:p>
  <w:p w:rsidR="00B361F7" w:rsidRPr="00130239" w:rsidRDefault="00B361F7" w:rsidP="0077432D">
    <w:pPr>
      <w:pStyle w:val="Footer"/>
    </w:pPr>
  </w:p>
  <w:p w:rsidR="00B361F7" w:rsidRDefault="00B361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D01" w:rsidRDefault="00EC3D01" w:rsidP="00553B67">
      <w:pPr>
        <w:spacing w:line="240" w:lineRule="auto"/>
      </w:pPr>
      <w:r>
        <w:separator/>
      </w:r>
    </w:p>
  </w:footnote>
  <w:footnote w:type="continuationSeparator" w:id="0">
    <w:p w:rsidR="00EC3D01" w:rsidRDefault="00EC3D01" w:rsidP="00553B67">
      <w:pPr>
        <w:spacing w:line="240" w:lineRule="auto"/>
      </w:pPr>
      <w:r>
        <w:continuationSeparator/>
      </w:r>
    </w:p>
  </w:footnote>
  <w:footnote w:type="continuationNotice" w:id="1">
    <w:p w:rsidR="00EC3D01" w:rsidRDefault="00EC3D01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1F7" w:rsidRPr="0053361B" w:rsidRDefault="00B361F7" w:rsidP="009345A0">
    <w:pPr>
      <w:pStyle w:val="EPageHeader"/>
      <w:jc w:val="both"/>
    </w:pPr>
    <w:r>
      <w:tab/>
    </w:r>
  </w:p>
  <w:p w:rsidR="00B361F7" w:rsidRPr="00553B67" w:rsidRDefault="00B361F7" w:rsidP="00553B67">
    <w:pPr>
      <w:pStyle w:val="Header"/>
    </w:pPr>
  </w:p>
  <w:p w:rsidR="00B361F7" w:rsidRDefault="00B361F7"/>
  <w:p w:rsidR="00B361F7" w:rsidRDefault="00B361F7"/>
  <w:p w:rsidR="00B361F7" w:rsidRDefault="00B361F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1F7" w:rsidRDefault="00B361F7">
    <w:pPr>
      <w:pStyle w:val="Header"/>
    </w:pPr>
    <w:r>
      <w:rPr>
        <w:noProof/>
      </w:rPr>
      <w:drawing>
        <wp:anchor distT="0" distB="0" distL="114300" distR="114300" simplePos="0" relativeHeight="251668480" behindDoc="0" locked="0" layoutInCell="1" allowOverlap="1" wp14:anchorId="5DC78311" wp14:editId="3165626E">
          <wp:simplePos x="0" y="0"/>
          <wp:positionH relativeFrom="page">
            <wp:posOffset>673760</wp:posOffset>
          </wp:positionH>
          <wp:positionV relativeFrom="page">
            <wp:posOffset>892810</wp:posOffset>
          </wp:positionV>
          <wp:extent cx="3864578" cy="523530"/>
          <wp:effectExtent l="0" t="0" r="317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R_logo_rgb_word-title-pa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4578" cy="52353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E8A445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A4A9A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68C36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0FE12F6"/>
    <w:lvl w:ilvl="0">
      <w:start w:val="1"/>
      <w:numFmt w:val="lowerLetter"/>
      <w:pStyle w:val="ListNumber2"/>
      <w:lvlText w:val="%1."/>
      <w:lvlJc w:val="left"/>
      <w:pPr>
        <w:ind w:left="1080" w:hanging="360"/>
      </w:pPr>
      <w:rPr>
        <w:rFonts w:hint="default"/>
        <w:color w:val="auto"/>
      </w:rPr>
    </w:lvl>
  </w:abstractNum>
  <w:abstractNum w:abstractNumId="4">
    <w:nsid w:val="FFFFFF80"/>
    <w:multiLevelType w:val="singleLevel"/>
    <w:tmpl w:val="947034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E6E9D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61AA2AC"/>
    <w:lvl w:ilvl="0">
      <w:start w:val="1"/>
      <w:numFmt w:val="bullet"/>
      <w:pStyle w:val="ListBullet3"/>
      <w:lvlText w:val=""/>
      <w:lvlJc w:val="left"/>
      <w:pPr>
        <w:ind w:left="1440" w:hanging="360"/>
      </w:pPr>
      <w:rPr>
        <w:rFonts w:ascii="Wingdings" w:hAnsi="Wingdings" w:hint="default"/>
        <w:color w:val="F4CE00"/>
      </w:rPr>
    </w:lvl>
  </w:abstractNum>
  <w:abstractNum w:abstractNumId="7">
    <w:nsid w:val="FFFFFF83"/>
    <w:multiLevelType w:val="singleLevel"/>
    <w:tmpl w:val="48961AE8"/>
    <w:lvl w:ilvl="0">
      <w:start w:val="1"/>
      <w:numFmt w:val="bullet"/>
      <w:pStyle w:val="ListBullet2"/>
      <w:lvlText w:val=""/>
      <w:lvlJc w:val="left"/>
      <w:pPr>
        <w:ind w:left="1080" w:hanging="360"/>
      </w:pPr>
      <w:rPr>
        <w:rFonts w:ascii="Wingdings" w:hAnsi="Wingdings" w:hint="default"/>
        <w:color w:val="92B7BC"/>
      </w:rPr>
    </w:lvl>
  </w:abstractNum>
  <w:abstractNum w:abstractNumId="8">
    <w:nsid w:val="FFFFFF88"/>
    <w:multiLevelType w:val="singleLevel"/>
    <w:tmpl w:val="735890C0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9">
    <w:nsid w:val="FFFFFF89"/>
    <w:multiLevelType w:val="singleLevel"/>
    <w:tmpl w:val="EC004E48"/>
    <w:lvl w:ilvl="0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color w:val="007299"/>
      </w:rPr>
    </w:lvl>
  </w:abstractNum>
  <w:abstractNum w:abstractNumId="10">
    <w:nsid w:val="169876E0"/>
    <w:multiLevelType w:val="hybridMultilevel"/>
    <w:tmpl w:val="9CA62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E051DA"/>
    <w:multiLevelType w:val="hybridMultilevel"/>
    <w:tmpl w:val="A97A3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5B662E"/>
    <w:multiLevelType w:val="hybridMultilevel"/>
    <w:tmpl w:val="5B5EBDA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8DC16AB"/>
    <w:multiLevelType w:val="hybridMultilevel"/>
    <w:tmpl w:val="A118A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E724CD"/>
    <w:multiLevelType w:val="hybridMultilevel"/>
    <w:tmpl w:val="F3882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272729"/>
    <w:multiLevelType w:val="hybridMultilevel"/>
    <w:tmpl w:val="0374E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C46C34"/>
    <w:multiLevelType w:val="hybridMultilevel"/>
    <w:tmpl w:val="A8765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30301B"/>
    <w:multiLevelType w:val="hybridMultilevel"/>
    <w:tmpl w:val="B2063502"/>
    <w:lvl w:ilvl="0" w:tplc="09C07C6C">
      <w:start w:val="767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8"/>
    <w:lvlOverride w:ilvl="0">
      <w:startOverride w:val="1"/>
    </w:lvlOverride>
  </w:num>
  <w:num w:numId="14">
    <w:abstractNumId w:val="17"/>
  </w:num>
  <w:num w:numId="15">
    <w:abstractNumId w:val="10"/>
  </w:num>
  <w:num w:numId="16">
    <w:abstractNumId w:val="13"/>
  </w:num>
  <w:num w:numId="17">
    <w:abstractNumId w:val="16"/>
  </w:num>
  <w:num w:numId="18">
    <w:abstractNumId w:val="1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213"/>
    <w:rsid w:val="00007F89"/>
    <w:rsid w:val="00011415"/>
    <w:rsid w:val="00013D6D"/>
    <w:rsid w:val="00015344"/>
    <w:rsid w:val="000328FE"/>
    <w:rsid w:val="00034072"/>
    <w:rsid w:val="00035E8E"/>
    <w:rsid w:val="000374FB"/>
    <w:rsid w:val="000511A4"/>
    <w:rsid w:val="00051266"/>
    <w:rsid w:val="00070AA9"/>
    <w:rsid w:val="00070D20"/>
    <w:rsid w:val="000716C4"/>
    <w:rsid w:val="00084078"/>
    <w:rsid w:val="000A0CDD"/>
    <w:rsid w:val="000B058D"/>
    <w:rsid w:val="000B16D8"/>
    <w:rsid w:val="000B1919"/>
    <w:rsid w:val="000D6446"/>
    <w:rsid w:val="000F7A16"/>
    <w:rsid w:val="00100F20"/>
    <w:rsid w:val="00104153"/>
    <w:rsid w:val="00104C5E"/>
    <w:rsid w:val="001066DD"/>
    <w:rsid w:val="001143F8"/>
    <w:rsid w:val="001216CE"/>
    <w:rsid w:val="0012364F"/>
    <w:rsid w:val="00123691"/>
    <w:rsid w:val="001277A1"/>
    <w:rsid w:val="00130239"/>
    <w:rsid w:val="00131352"/>
    <w:rsid w:val="00134625"/>
    <w:rsid w:val="00142079"/>
    <w:rsid w:val="001444C9"/>
    <w:rsid w:val="0015231C"/>
    <w:rsid w:val="00163D47"/>
    <w:rsid w:val="001767C0"/>
    <w:rsid w:val="00177D12"/>
    <w:rsid w:val="00185DAA"/>
    <w:rsid w:val="00187418"/>
    <w:rsid w:val="00187F9F"/>
    <w:rsid w:val="0019147B"/>
    <w:rsid w:val="001A0F5B"/>
    <w:rsid w:val="001A18EA"/>
    <w:rsid w:val="001A1CBD"/>
    <w:rsid w:val="001A5325"/>
    <w:rsid w:val="001A558D"/>
    <w:rsid w:val="001B5605"/>
    <w:rsid w:val="001C5658"/>
    <w:rsid w:val="001D2FFA"/>
    <w:rsid w:val="001D4B4E"/>
    <w:rsid w:val="001E12BD"/>
    <w:rsid w:val="001E2BC6"/>
    <w:rsid w:val="001E5FE1"/>
    <w:rsid w:val="001F7360"/>
    <w:rsid w:val="002038E6"/>
    <w:rsid w:val="002039E9"/>
    <w:rsid w:val="002116C0"/>
    <w:rsid w:val="00213D42"/>
    <w:rsid w:val="0021598B"/>
    <w:rsid w:val="00221B60"/>
    <w:rsid w:val="00222A4B"/>
    <w:rsid w:val="00225906"/>
    <w:rsid w:val="002261E6"/>
    <w:rsid w:val="00226EA9"/>
    <w:rsid w:val="00235E98"/>
    <w:rsid w:val="00250478"/>
    <w:rsid w:val="00254183"/>
    <w:rsid w:val="002600D4"/>
    <w:rsid w:val="00263A85"/>
    <w:rsid w:val="00265EA5"/>
    <w:rsid w:val="002676CB"/>
    <w:rsid w:val="00287C29"/>
    <w:rsid w:val="00295479"/>
    <w:rsid w:val="002A1267"/>
    <w:rsid w:val="002A40F9"/>
    <w:rsid w:val="002B5CC8"/>
    <w:rsid w:val="002C1CFD"/>
    <w:rsid w:val="002C588D"/>
    <w:rsid w:val="002D1CE1"/>
    <w:rsid w:val="002D3CCA"/>
    <w:rsid w:val="002D5FE1"/>
    <w:rsid w:val="002E1081"/>
    <w:rsid w:val="002E33E6"/>
    <w:rsid w:val="002F14F5"/>
    <w:rsid w:val="002F246D"/>
    <w:rsid w:val="003001B8"/>
    <w:rsid w:val="00301EDF"/>
    <w:rsid w:val="003115DB"/>
    <w:rsid w:val="00324814"/>
    <w:rsid w:val="003319D0"/>
    <w:rsid w:val="00345EA9"/>
    <w:rsid w:val="0035215E"/>
    <w:rsid w:val="00353AE5"/>
    <w:rsid w:val="00355E43"/>
    <w:rsid w:val="003607C6"/>
    <w:rsid w:val="003678A1"/>
    <w:rsid w:val="00380D1B"/>
    <w:rsid w:val="003C0FA9"/>
    <w:rsid w:val="003C1436"/>
    <w:rsid w:val="003C3069"/>
    <w:rsid w:val="003D2504"/>
    <w:rsid w:val="003D2AA3"/>
    <w:rsid w:val="003E7C48"/>
    <w:rsid w:val="003F181F"/>
    <w:rsid w:val="004066C4"/>
    <w:rsid w:val="004131E1"/>
    <w:rsid w:val="0041474F"/>
    <w:rsid w:val="004173C1"/>
    <w:rsid w:val="00420D41"/>
    <w:rsid w:val="0043280D"/>
    <w:rsid w:val="00434344"/>
    <w:rsid w:val="00441079"/>
    <w:rsid w:val="004452BA"/>
    <w:rsid w:val="00451230"/>
    <w:rsid w:val="004520C9"/>
    <w:rsid w:val="00460A3B"/>
    <w:rsid w:val="004617EE"/>
    <w:rsid w:val="004678F5"/>
    <w:rsid w:val="004752DA"/>
    <w:rsid w:val="004774B2"/>
    <w:rsid w:val="00484468"/>
    <w:rsid w:val="00490648"/>
    <w:rsid w:val="004A0980"/>
    <w:rsid w:val="004A4F06"/>
    <w:rsid w:val="004B361F"/>
    <w:rsid w:val="004B4516"/>
    <w:rsid w:val="004B7AB2"/>
    <w:rsid w:val="004C3E31"/>
    <w:rsid w:val="004C6E23"/>
    <w:rsid w:val="004D4DF8"/>
    <w:rsid w:val="004D7318"/>
    <w:rsid w:val="004E1805"/>
    <w:rsid w:val="004F1D13"/>
    <w:rsid w:val="004F7C43"/>
    <w:rsid w:val="005027CA"/>
    <w:rsid w:val="00510F68"/>
    <w:rsid w:val="00513BE5"/>
    <w:rsid w:val="00523887"/>
    <w:rsid w:val="0053066E"/>
    <w:rsid w:val="00530B3B"/>
    <w:rsid w:val="0053195A"/>
    <w:rsid w:val="00536D85"/>
    <w:rsid w:val="00537B19"/>
    <w:rsid w:val="00537EFA"/>
    <w:rsid w:val="00541D06"/>
    <w:rsid w:val="00546F50"/>
    <w:rsid w:val="00553B67"/>
    <w:rsid w:val="0056370D"/>
    <w:rsid w:val="005640A4"/>
    <w:rsid w:val="00575C0E"/>
    <w:rsid w:val="005825EB"/>
    <w:rsid w:val="00584DF8"/>
    <w:rsid w:val="00586632"/>
    <w:rsid w:val="005867E3"/>
    <w:rsid w:val="00597E15"/>
    <w:rsid w:val="005A141F"/>
    <w:rsid w:val="005A2E9A"/>
    <w:rsid w:val="005B3635"/>
    <w:rsid w:val="005E0921"/>
    <w:rsid w:val="005E10FC"/>
    <w:rsid w:val="005F300F"/>
    <w:rsid w:val="005F3F43"/>
    <w:rsid w:val="005F4013"/>
    <w:rsid w:val="005F6D03"/>
    <w:rsid w:val="0061436B"/>
    <w:rsid w:val="0062359F"/>
    <w:rsid w:val="00624F3D"/>
    <w:rsid w:val="00634249"/>
    <w:rsid w:val="00641472"/>
    <w:rsid w:val="00652BE2"/>
    <w:rsid w:val="00664413"/>
    <w:rsid w:val="00671D63"/>
    <w:rsid w:val="00672603"/>
    <w:rsid w:val="006743FB"/>
    <w:rsid w:val="00674687"/>
    <w:rsid w:val="006836F8"/>
    <w:rsid w:val="006900AA"/>
    <w:rsid w:val="0069617E"/>
    <w:rsid w:val="00696AAA"/>
    <w:rsid w:val="006B035D"/>
    <w:rsid w:val="006B2699"/>
    <w:rsid w:val="006C18CB"/>
    <w:rsid w:val="006C2D26"/>
    <w:rsid w:val="006D0331"/>
    <w:rsid w:val="006F0DD0"/>
    <w:rsid w:val="006F122A"/>
    <w:rsid w:val="006F256B"/>
    <w:rsid w:val="006F617F"/>
    <w:rsid w:val="00701C25"/>
    <w:rsid w:val="00712AD6"/>
    <w:rsid w:val="00722B26"/>
    <w:rsid w:val="00722C06"/>
    <w:rsid w:val="00723B96"/>
    <w:rsid w:val="007321F5"/>
    <w:rsid w:val="00740DE0"/>
    <w:rsid w:val="0074743A"/>
    <w:rsid w:val="0074760C"/>
    <w:rsid w:val="00750DC5"/>
    <w:rsid w:val="00763BBF"/>
    <w:rsid w:val="0076500A"/>
    <w:rsid w:val="007736F2"/>
    <w:rsid w:val="0077432D"/>
    <w:rsid w:val="00775787"/>
    <w:rsid w:val="0077715F"/>
    <w:rsid w:val="007811EA"/>
    <w:rsid w:val="00782EE8"/>
    <w:rsid w:val="00795D0E"/>
    <w:rsid w:val="007962E1"/>
    <w:rsid w:val="00797612"/>
    <w:rsid w:val="007A46A3"/>
    <w:rsid w:val="007A4EB5"/>
    <w:rsid w:val="007A6E9E"/>
    <w:rsid w:val="007C3ED9"/>
    <w:rsid w:val="007C7C9C"/>
    <w:rsid w:val="007C7F09"/>
    <w:rsid w:val="007D324E"/>
    <w:rsid w:val="007D5456"/>
    <w:rsid w:val="007E55AE"/>
    <w:rsid w:val="007F14CC"/>
    <w:rsid w:val="007F2E62"/>
    <w:rsid w:val="007F38F5"/>
    <w:rsid w:val="00801EF7"/>
    <w:rsid w:val="008149BE"/>
    <w:rsid w:val="0081721C"/>
    <w:rsid w:val="00830C2F"/>
    <w:rsid w:val="00832BE3"/>
    <w:rsid w:val="00834B5B"/>
    <w:rsid w:val="0083567D"/>
    <w:rsid w:val="0084448C"/>
    <w:rsid w:val="00861D07"/>
    <w:rsid w:val="008936B5"/>
    <w:rsid w:val="00897D68"/>
    <w:rsid w:val="008A1C15"/>
    <w:rsid w:val="008B2259"/>
    <w:rsid w:val="008B266C"/>
    <w:rsid w:val="008C38D5"/>
    <w:rsid w:val="008D44D3"/>
    <w:rsid w:val="008F1D05"/>
    <w:rsid w:val="008F1FEE"/>
    <w:rsid w:val="0090315E"/>
    <w:rsid w:val="00906FBD"/>
    <w:rsid w:val="00915E20"/>
    <w:rsid w:val="00917294"/>
    <w:rsid w:val="009226E0"/>
    <w:rsid w:val="00927FA3"/>
    <w:rsid w:val="00931BFE"/>
    <w:rsid w:val="009345A0"/>
    <w:rsid w:val="00936B56"/>
    <w:rsid w:val="00941D08"/>
    <w:rsid w:val="0094280C"/>
    <w:rsid w:val="00943F1B"/>
    <w:rsid w:val="00962513"/>
    <w:rsid w:val="00965B6E"/>
    <w:rsid w:val="00966A48"/>
    <w:rsid w:val="009710E4"/>
    <w:rsid w:val="0097449F"/>
    <w:rsid w:val="00980DD3"/>
    <w:rsid w:val="00990124"/>
    <w:rsid w:val="0099107B"/>
    <w:rsid w:val="00992FDD"/>
    <w:rsid w:val="0099368C"/>
    <w:rsid w:val="009A2E9F"/>
    <w:rsid w:val="009A5213"/>
    <w:rsid w:val="009A5314"/>
    <w:rsid w:val="009C2F66"/>
    <w:rsid w:val="009D07BE"/>
    <w:rsid w:val="009D6531"/>
    <w:rsid w:val="009D7588"/>
    <w:rsid w:val="009F2D33"/>
    <w:rsid w:val="009F6C8A"/>
    <w:rsid w:val="009F7067"/>
    <w:rsid w:val="00A02C36"/>
    <w:rsid w:val="00A03519"/>
    <w:rsid w:val="00A11FEA"/>
    <w:rsid w:val="00A12732"/>
    <w:rsid w:val="00A13D6A"/>
    <w:rsid w:val="00A15A45"/>
    <w:rsid w:val="00A24AFF"/>
    <w:rsid w:val="00A3091D"/>
    <w:rsid w:val="00A30E09"/>
    <w:rsid w:val="00A30FA2"/>
    <w:rsid w:val="00A44637"/>
    <w:rsid w:val="00A47FE5"/>
    <w:rsid w:val="00A5566C"/>
    <w:rsid w:val="00A8232A"/>
    <w:rsid w:val="00A85A0B"/>
    <w:rsid w:val="00A960DE"/>
    <w:rsid w:val="00AA0376"/>
    <w:rsid w:val="00AA180A"/>
    <w:rsid w:val="00AA77BC"/>
    <w:rsid w:val="00AB337E"/>
    <w:rsid w:val="00AB3BDB"/>
    <w:rsid w:val="00AD246C"/>
    <w:rsid w:val="00AD38FE"/>
    <w:rsid w:val="00AD3A1A"/>
    <w:rsid w:val="00AE31B6"/>
    <w:rsid w:val="00AE3FC8"/>
    <w:rsid w:val="00AE48FC"/>
    <w:rsid w:val="00AF337E"/>
    <w:rsid w:val="00B01D6E"/>
    <w:rsid w:val="00B02733"/>
    <w:rsid w:val="00B031B6"/>
    <w:rsid w:val="00B13D8E"/>
    <w:rsid w:val="00B1634D"/>
    <w:rsid w:val="00B16682"/>
    <w:rsid w:val="00B17269"/>
    <w:rsid w:val="00B204EB"/>
    <w:rsid w:val="00B2680E"/>
    <w:rsid w:val="00B269F0"/>
    <w:rsid w:val="00B26C87"/>
    <w:rsid w:val="00B3225A"/>
    <w:rsid w:val="00B3386E"/>
    <w:rsid w:val="00B361F7"/>
    <w:rsid w:val="00B36F77"/>
    <w:rsid w:val="00B40366"/>
    <w:rsid w:val="00B43403"/>
    <w:rsid w:val="00B4511D"/>
    <w:rsid w:val="00B451D8"/>
    <w:rsid w:val="00B74172"/>
    <w:rsid w:val="00B803DD"/>
    <w:rsid w:val="00B83948"/>
    <w:rsid w:val="00B911F1"/>
    <w:rsid w:val="00B93AE5"/>
    <w:rsid w:val="00B9591B"/>
    <w:rsid w:val="00BB3251"/>
    <w:rsid w:val="00BC1B5F"/>
    <w:rsid w:val="00BC4D67"/>
    <w:rsid w:val="00BD3D79"/>
    <w:rsid w:val="00BE0D29"/>
    <w:rsid w:val="00BE22D5"/>
    <w:rsid w:val="00BE342E"/>
    <w:rsid w:val="00C04055"/>
    <w:rsid w:val="00C1001F"/>
    <w:rsid w:val="00C117EE"/>
    <w:rsid w:val="00C13E70"/>
    <w:rsid w:val="00C1788D"/>
    <w:rsid w:val="00C2337B"/>
    <w:rsid w:val="00C24D14"/>
    <w:rsid w:val="00C30299"/>
    <w:rsid w:val="00C36438"/>
    <w:rsid w:val="00C43E1C"/>
    <w:rsid w:val="00C47FF7"/>
    <w:rsid w:val="00C5255D"/>
    <w:rsid w:val="00C70F37"/>
    <w:rsid w:val="00C72166"/>
    <w:rsid w:val="00C72EB3"/>
    <w:rsid w:val="00C73B74"/>
    <w:rsid w:val="00C772FB"/>
    <w:rsid w:val="00C91853"/>
    <w:rsid w:val="00C939FD"/>
    <w:rsid w:val="00C97356"/>
    <w:rsid w:val="00CA1582"/>
    <w:rsid w:val="00CA506A"/>
    <w:rsid w:val="00CB09B6"/>
    <w:rsid w:val="00CB3E40"/>
    <w:rsid w:val="00CB4BD4"/>
    <w:rsid w:val="00CB6D37"/>
    <w:rsid w:val="00CC2002"/>
    <w:rsid w:val="00CD0EB4"/>
    <w:rsid w:val="00CF116B"/>
    <w:rsid w:val="00CF333B"/>
    <w:rsid w:val="00D00BD9"/>
    <w:rsid w:val="00D01024"/>
    <w:rsid w:val="00D014A6"/>
    <w:rsid w:val="00D0273F"/>
    <w:rsid w:val="00D03498"/>
    <w:rsid w:val="00D05692"/>
    <w:rsid w:val="00D137B6"/>
    <w:rsid w:val="00D22470"/>
    <w:rsid w:val="00D26AF8"/>
    <w:rsid w:val="00D333EF"/>
    <w:rsid w:val="00D35C78"/>
    <w:rsid w:val="00D502B7"/>
    <w:rsid w:val="00D544B9"/>
    <w:rsid w:val="00D604DC"/>
    <w:rsid w:val="00D76952"/>
    <w:rsid w:val="00D82C2C"/>
    <w:rsid w:val="00D840D2"/>
    <w:rsid w:val="00D84D7E"/>
    <w:rsid w:val="00D87C98"/>
    <w:rsid w:val="00DA69FC"/>
    <w:rsid w:val="00DB7BB7"/>
    <w:rsid w:val="00DC0F6D"/>
    <w:rsid w:val="00DE5FFA"/>
    <w:rsid w:val="00E002BF"/>
    <w:rsid w:val="00E03FF1"/>
    <w:rsid w:val="00E04018"/>
    <w:rsid w:val="00E05FCA"/>
    <w:rsid w:val="00E07E13"/>
    <w:rsid w:val="00E1345A"/>
    <w:rsid w:val="00E137BA"/>
    <w:rsid w:val="00E15D40"/>
    <w:rsid w:val="00E2488F"/>
    <w:rsid w:val="00E256E0"/>
    <w:rsid w:val="00E30A03"/>
    <w:rsid w:val="00E31625"/>
    <w:rsid w:val="00E34E8A"/>
    <w:rsid w:val="00E46C7B"/>
    <w:rsid w:val="00E50B70"/>
    <w:rsid w:val="00E52EE0"/>
    <w:rsid w:val="00E57B2D"/>
    <w:rsid w:val="00E57FFD"/>
    <w:rsid w:val="00E62329"/>
    <w:rsid w:val="00E639B3"/>
    <w:rsid w:val="00E711E0"/>
    <w:rsid w:val="00E75CE1"/>
    <w:rsid w:val="00E81769"/>
    <w:rsid w:val="00E8224A"/>
    <w:rsid w:val="00E85A73"/>
    <w:rsid w:val="00E96CA6"/>
    <w:rsid w:val="00EA0C56"/>
    <w:rsid w:val="00EA0EEA"/>
    <w:rsid w:val="00EA2025"/>
    <w:rsid w:val="00EB5824"/>
    <w:rsid w:val="00EB70F2"/>
    <w:rsid w:val="00EC3D01"/>
    <w:rsid w:val="00ED5A34"/>
    <w:rsid w:val="00EF41D5"/>
    <w:rsid w:val="00EF4B1B"/>
    <w:rsid w:val="00F0391D"/>
    <w:rsid w:val="00F079C7"/>
    <w:rsid w:val="00F10729"/>
    <w:rsid w:val="00F137F2"/>
    <w:rsid w:val="00F16D00"/>
    <w:rsid w:val="00F2069F"/>
    <w:rsid w:val="00F302DD"/>
    <w:rsid w:val="00F37265"/>
    <w:rsid w:val="00F54B82"/>
    <w:rsid w:val="00F56139"/>
    <w:rsid w:val="00F5621C"/>
    <w:rsid w:val="00F70AA7"/>
    <w:rsid w:val="00F71638"/>
    <w:rsid w:val="00F8342C"/>
    <w:rsid w:val="00F861EF"/>
    <w:rsid w:val="00F92639"/>
    <w:rsid w:val="00FA3D57"/>
    <w:rsid w:val="00FB29D6"/>
    <w:rsid w:val="00FB3C20"/>
    <w:rsid w:val="00FB669D"/>
    <w:rsid w:val="00FD3126"/>
    <w:rsid w:val="00FD3273"/>
    <w:rsid w:val="00FD44D1"/>
    <w:rsid w:val="00FD7338"/>
    <w:rsid w:val="00FF260D"/>
    <w:rsid w:val="00FF7070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Bullet" w:qFormat="1"/>
    <w:lsdException w:name="List Number" w:qFormat="1"/>
    <w:lsdException w:name="List Bullet 2" w:qFormat="1"/>
    <w:lsdException w:name="List Bullet 3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C. Normal"/>
    <w:qFormat/>
    <w:rsid w:val="00A85A0B"/>
    <w:pPr>
      <w:spacing w:before="100" w:after="0"/>
    </w:pPr>
    <w:rPr>
      <w:rFonts w:ascii="Arial" w:hAnsi="Arial"/>
      <w:sz w:val="18"/>
    </w:rPr>
  </w:style>
  <w:style w:type="paragraph" w:styleId="Heading1">
    <w:name w:val="heading 1"/>
    <w:aliases w:val="D. Heading 1"/>
    <w:basedOn w:val="Normal"/>
    <w:next w:val="Normal"/>
    <w:link w:val="Heading1Char"/>
    <w:uiPriority w:val="9"/>
    <w:qFormat/>
    <w:rsid w:val="00A85A0B"/>
    <w:pPr>
      <w:keepNext/>
      <w:keepLines/>
      <w:spacing w:before="200"/>
      <w:outlineLvl w:val="0"/>
    </w:pPr>
    <w:rPr>
      <w:rFonts w:eastAsiaTheme="majorEastAsia" w:cstheme="majorBidi"/>
      <w:b/>
      <w:bCs/>
      <w:color w:val="054B56"/>
      <w:sz w:val="32"/>
      <w:szCs w:val="28"/>
    </w:rPr>
  </w:style>
  <w:style w:type="paragraph" w:styleId="Heading2">
    <w:name w:val="heading 2"/>
    <w:aliases w:val="D. Heading 2"/>
    <w:basedOn w:val="Normal"/>
    <w:next w:val="Normal"/>
    <w:link w:val="Heading2Char"/>
    <w:uiPriority w:val="9"/>
    <w:unhideWhenUsed/>
    <w:qFormat/>
    <w:rsid w:val="002261E6"/>
    <w:pPr>
      <w:keepNext/>
      <w:keepLines/>
      <w:spacing w:before="200"/>
      <w:outlineLvl w:val="1"/>
    </w:pPr>
    <w:rPr>
      <w:rFonts w:eastAsiaTheme="majorEastAsia" w:cstheme="majorBidi"/>
      <w:bCs/>
      <w:caps/>
      <w:color w:val="054B56"/>
      <w:sz w:val="24"/>
      <w:szCs w:val="26"/>
    </w:rPr>
  </w:style>
  <w:style w:type="paragraph" w:styleId="Heading3">
    <w:name w:val="heading 3"/>
    <w:aliases w:val="D. Heading 3"/>
    <w:basedOn w:val="Normal"/>
    <w:next w:val="Normal"/>
    <w:link w:val="Heading3Char"/>
    <w:uiPriority w:val="9"/>
    <w:unhideWhenUsed/>
    <w:qFormat/>
    <w:rsid w:val="00C04055"/>
    <w:pPr>
      <w:keepNext/>
      <w:keepLines/>
      <w:spacing w:before="200"/>
      <w:outlineLvl w:val="2"/>
    </w:pPr>
    <w:rPr>
      <w:rFonts w:eastAsiaTheme="majorEastAsia" w:cstheme="majorBidi"/>
      <w:b/>
      <w:bCs/>
      <w:caps/>
      <w:color w:val="000000" w:themeColor="text1"/>
      <w:sz w:val="24"/>
    </w:rPr>
  </w:style>
  <w:style w:type="paragraph" w:styleId="Heading4">
    <w:name w:val="heading 4"/>
    <w:aliases w:val="D. Heading 4"/>
    <w:basedOn w:val="Normal"/>
    <w:next w:val="Normal"/>
    <w:link w:val="Heading4Char"/>
    <w:uiPriority w:val="9"/>
    <w:unhideWhenUsed/>
    <w:qFormat/>
    <w:rsid w:val="00295479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000000" w:themeColor="text1"/>
      <w:sz w:val="20"/>
    </w:rPr>
  </w:style>
  <w:style w:type="paragraph" w:styleId="Heading5">
    <w:name w:val="heading 5"/>
    <w:aliases w:val="D. Heading 5"/>
    <w:basedOn w:val="Normal"/>
    <w:next w:val="Normal"/>
    <w:link w:val="Heading5Char"/>
    <w:uiPriority w:val="9"/>
    <w:unhideWhenUsed/>
    <w:qFormat/>
    <w:rsid w:val="00295479"/>
    <w:pPr>
      <w:keepNext/>
      <w:keepLines/>
      <w:spacing w:before="200"/>
      <w:outlineLvl w:val="4"/>
    </w:pPr>
    <w:rPr>
      <w:rFonts w:eastAsiaTheme="majorEastAsia" w:cstheme="majorBidi"/>
      <w:b/>
      <w:i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B6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B67"/>
  </w:style>
  <w:style w:type="paragraph" w:styleId="Footer">
    <w:name w:val="footer"/>
    <w:aliases w:val="p.1 Footer"/>
    <w:basedOn w:val="Normal"/>
    <w:link w:val="FooterChar"/>
    <w:uiPriority w:val="99"/>
    <w:unhideWhenUsed/>
    <w:rsid w:val="00992FDD"/>
    <w:pPr>
      <w:tabs>
        <w:tab w:val="center" w:pos="4680"/>
        <w:tab w:val="right" w:pos="9360"/>
      </w:tabs>
      <w:spacing w:line="240" w:lineRule="auto"/>
    </w:pPr>
    <w:rPr>
      <w:sz w:val="12"/>
    </w:rPr>
  </w:style>
  <w:style w:type="character" w:customStyle="1" w:styleId="FooterChar">
    <w:name w:val="Footer Char"/>
    <w:aliases w:val="p.1 Footer Char"/>
    <w:basedOn w:val="DefaultParagraphFont"/>
    <w:link w:val="Footer"/>
    <w:uiPriority w:val="99"/>
    <w:rsid w:val="00992FDD"/>
    <w:rPr>
      <w:rFonts w:ascii="Arial" w:hAnsi="Arial"/>
      <w:sz w:val="1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B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B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D. Heading 1 Char"/>
    <w:basedOn w:val="DefaultParagraphFont"/>
    <w:link w:val="Heading1"/>
    <w:uiPriority w:val="9"/>
    <w:rsid w:val="00A85A0B"/>
    <w:rPr>
      <w:rFonts w:ascii="Arial" w:eastAsiaTheme="majorEastAsia" w:hAnsi="Arial" w:cstheme="majorBidi"/>
      <w:b/>
      <w:bCs/>
      <w:color w:val="054B56"/>
      <w:sz w:val="32"/>
      <w:szCs w:val="28"/>
    </w:rPr>
  </w:style>
  <w:style w:type="paragraph" w:styleId="Title">
    <w:name w:val="Title"/>
    <w:aliases w:val="A. Title"/>
    <w:basedOn w:val="Normal"/>
    <w:next w:val="Normal"/>
    <w:link w:val="TitleChar"/>
    <w:uiPriority w:val="10"/>
    <w:qFormat/>
    <w:rsid w:val="00C772FB"/>
    <w:pPr>
      <w:spacing w:before="0" w:after="300"/>
      <w:contextualSpacing/>
    </w:pPr>
    <w:rPr>
      <w:rFonts w:eastAsiaTheme="majorEastAsia" w:cstheme="majorBidi"/>
      <w:b/>
      <w:color w:val="054B56" w:themeColor="text2"/>
      <w:spacing w:val="5"/>
      <w:kern w:val="28"/>
      <w:sz w:val="60"/>
      <w:szCs w:val="52"/>
    </w:rPr>
  </w:style>
  <w:style w:type="character" w:customStyle="1" w:styleId="TitleChar">
    <w:name w:val="Title Char"/>
    <w:aliases w:val="A. Title Char"/>
    <w:basedOn w:val="DefaultParagraphFont"/>
    <w:link w:val="Title"/>
    <w:uiPriority w:val="10"/>
    <w:rsid w:val="00C772FB"/>
    <w:rPr>
      <w:rFonts w:ascii="Arial" w:eastAsiaTheme="majorEastAsia" w:hAnsi="Arial" w:cstheme="majorBidi"/>
      <w:b/>
      <w:color w:val="054B56" w:themeColor="text2"/>
      <w:spacing w:val="5"/>
      <w:kern w:val="28"/>
      <w:sz w:val="6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553B67"/>
    <w:pPr>
      <w:numPr>
        <w:ilvl w:val="1"/>
      </w:numPr>
      <w:spacing w:after="360"/>
    </w:pPr>
    <w:rPr>
      <w:rFonts w:eastAsiaTheme="majorEastAsia" w:cstheme="majorBidi"/>
      <w:iCs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53B67"/>
    <w:rPr>
      <w:rFonts w:ascii="Arial" w:eastAsiaTheme="majorEastAsia" w:hAnsi="Arial" w:cstheme="majorBidi"/>
      <w:iCs/>
      <w:spacing w:val="15"/>
      <w:sz w:val="32"/>
      <w:szCs w:val="24"/>
    </w:rPr>
  </w:style>
  <w:style w:type="paragraph" w:customStyle="1" w:styleId="ACoverDate">
    <w:name w:val="A. Cover: Date"/>
    <w:basedOn w:val="Normal"/>
    <w:link w:val="ACoverDateChar"/>
    <w:qFormat/>
    <w:rsid w:val="00C772FB"/>
    <w:pPr>
      <w:spacing w:after="200"/>
      <w:contextualSpacing/>
    </w:pPr>
    <w:rPr>
      <w:rFonts w:cs="Arial"/>
      <w:sz w:val="22"/>
      <w:szCs w:val="20"/>
    </w:rPr>
  </w:style>
  <w:style w:type="paragraph" w:customStyle="1" w:styleId="BTableofContents">
    <w:name w:val="B. Table of Contents"/>
    <w:basedOn w:val="Normal"/>
    <w:link w:val="BTableofContentsChar"/>
    <w:qFormat/>
    <w:rsid w:val="00943F1B"/>
    <w:pPr>
      <w:spacing w:before="0" w:after="100"/>
    </w:pPr>
    <w:rPr>
      <w:rFonts w:cs="Arial"/>
      <w:b/>
      <w:color w:val="054B56"/>
      <w:sz w:val="28"/>
      <w:szCs w:val="36"/>
    </w:rPr>
  </w:style>
  <w:style w:type="character" w:customStyle="1" w:styleId="ACoverDateChar">
    <w:name w:val="A. Cover: Date Char"/>
    <w:basedOn w:val="DefaultParagraphFont"/>
    <w:link w:val="ACoverDate"/>
    <w:rsid w:val="00C772FB"/>
    <w:rPr>
      <w:rFonts w:ascii="Arial" w:hAnsi="Arial" w:cs="Arial"/>
      <w:szCs w:val="20"/>
    </w:rPr>
  </w:style>
  <w:style w:type="paragraph" w:customStyle="1" w:styleId="p2Footer">
    <w:name w:val="p.2 Footer"/>
    <w:basedOn w:val="Footer"/>
    <w:link w:val="p2FooterChar"/>
    <w:rsid w:val="00A12732"/>
    <w:rPr>
      <w:i/>
      <w:sz w:val="14"/>
      <w:szCs w:val="14"/>
    </w:rPr>
  </w:style>
  <w:style w:type="character" w:customStyle="1" w:styleId="BTableofContentsChar">
    <w:name w:val="B. Table of Contents Char"/>
    <w:basedOn w:val="DefaultParagraphFont"/>
    <w:link w:val="BTableofContents"/>
    <w:rsid w:val="00943F1B"/>
    <w:rPr>
      <w:rFonts w:ascii="Arial" w:hAnsi="Arial" w:cs="Arial"/>
      <w:b/>
      <w:color w:val="054B56"/>
      <w:sz w:val="28"/>
      <w:szCs w:val="36"/>
    </w:rPr>
  </w:style>
  <w:style w:type="character" w:customStyle="1" w:styleId="Heading2Char">
    <w:name w:val="Heading 2 Char"/>
    <w:aliases w:val="D. Heading 2 Char"/>
    <w:basedOn w:val="DefaultParagraphFont"/>
    <w:link w:val="Heading2"/>
    <w:uiPriority w:val="9"/>
    <w:rsid w:val="002261E6"/>
    <w:rPr>
      <w:rFonts w:ascii="Arial" w:eastAsiaTheme="majorEastAsia" w:hAnsi="Arial" w:cstheme="majorBidi"/>
      <w:bCs/>
      <w:caps/>
      <w:color w:val="054B56"/>
      <w:sz w:val="24"/>
      <w:szCs w:val="26"/>
    </w:rPr>
  </w:style>
  <w:style w:type="character" w:customStyle="1" w:styleId="p2FooterChar">
    <w:name w:val="p.2 Footer Char"/>
    <w:basedOn w:val="FooterChar"/>
    <w:link w:val="p2Footer"/>
    <w:rsid w:val="00A12732"/>
    <w:rPr>
      <w:rFonts w:ascii="Arial" w:hAnsi="Arial"/>
      <w:i/>
      <w:sz w:val="14"/>
      <w:szCs w:val="14"/>
    </w:rPr>
  </w:style>
  <w:style w:type="paragraph" w:styleId="ListParagraph">
    <w:name w:val="List Paragraph"/>
    <w:basedOn w:val="Normal"/>
    <w:uiPriority w:val="34"/>
    <w:qFormat/>
    <w:rsid w:val="004F1D13"/>
    <w:pPr>
      <w:ind w:left="720"/>
      <w:contextualSpacing/>
    </w:pPr>
  </w:style>
  <w:style w:type="paragraph" w:styleId="ListBullet">
    <w:name w:val="List Bullet"/>
    <w:aliases w:val="C. List Bullet"/>
    <w:basedOn w:val="Normal"/>
    <w:uiPriority w:val="99"/>
    <w:unhideWhenUsed/>
    <w:qFormat/>
    <w:rsid w:val="00980DD3"/>
    <w:pPr>
      <w:numPr>
        <w:numId w:val="3"/>
      </w:numPr>
      <w:tabs>
        <w:tab w:val="left" w:pos="576"/>
      </w:tabs>
      <w:spacing w:before="0"/>
      <w:ind w:left="576" w:hanging="216"/>
      <w:contextualSpacing/>
    </w:pPr>
  </w:style>
  <w:style w:type="paragraph" w:styleId="ListBullet2">
    <w:name w:val="List Bullet 2"/>
    <w:aliases w:val="C. List Bullet 2"/>
    <w:basedOn w:val="Normal"/>
    <w:uiPriority w:val="99"/>
    <w:unhideWhenUsed/>
    <w:qFormat/>
    <w:rsid w:val="00980DD3"/>
    <w:pPr>
      <w:numPr>
        <w:numId w:val="4"/>
      </w:numPr>
      <w:tabs>
        <w:tab w:val="left" w:pos="936"/>
      </w:tabs>
      <w:spacing w:before="0"/>
      <w:ind w:left="936" w:hanging="216"/>
      <w:contextualSpacing/>
    </w:pPr>
  </w:style>
  <w:style w:type="character" w:customStyle="1" w:styleId="Heading3Char">
    <w:name w:val="Heading 3 Char"/>
    <w:aliases w:val="D. Heading 3 Char"/>
    <w:basedOn w:val="DefaultParagraphFont"/>
    <w:link w:val="Heading3"/>
    <w:uiPriority w:val="9"/>
    <w:rsid w:val="00C04055"/>
    <w:rPr>
      <w:rFonts w:ascii="Arial" w:eastAsiaTheme="majorEastAsia" w:hAnsi="Arial" w:cstheme="majorBidi"/>
      <w:b/>
      <w:bCs/>
      <w:caps/>
      <w:color w:val="000000" w:themeColor="text1"/>
      <w:sz w:val="24"/>
    </w:rPr>
  </w:style>
  <w:style w:type="character" w:customStyle="1" w:styleId="Heading4Char">
    <w:name w:val="Heading 4 Char"/>
    <w:aliases w:val="D. Heading 4 Char"/>
    <w:basedOn w:val="DefaultParagraphFont"/>
    <w:link w:val="Heading4"/>
    <w:uiPriority w:val="9"/>
    <w:rsid w:val="00295479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paragraph" w:styleId="ListNumber">
    <w:name w:val="List Number"/>
    <w:aliases w:val="C. List Number"/>
    <w:basedOn w:val="Normal"/>
    <w:uiPriority w:val="99"/>
    <w:unhideWhenUsed/>
    <w:qFormat/>
    <w:rsid w:val="00A85A0B"/>
    <w:pPr>
      <w:numPr>
        <w:numId w:val="8"/>
      </w:numPr>
      <w:spacing w:before="0"/>
      <w:ind w:left="576" w:hanging="216"/>
      <w:contextualSpacing/>
    </w:pPr>
    <w:rPr>
      <w:lang w:val="en"/>
    </w:rPr>
  </w:style>
  <w:style w:type="paragraph" w:styleId="ListNumber2">
    <w:name w:val="List Number 2"/>
    <w:aliases w:val="C. List Number 2"/>
    <w:basedOn w:val="Normal"/>
    <w:uiPriority w:val="99"/>
    <w:unhideWhenUsed/>
    <w:qFormat/>
    <w:rsid w:val="00A85A0B"/>
    <w:pPr>
      <w:numPr>
        <w:numId w:val="9"/>
      </w:numPr>
      <w:tabs>
        <w:tab w:val="left" w:pos="936"/>
      </w:tabs>
      <w:spacing w:before="0"/>
      <w:ind w:left="936" w:hanging="216"/>
      <w:contextualSpacing/>
    </w:pPr>
  </w:style>
  <w:style w:type="character" w:customStyle="1" w:styleId="Heading5Char">
    <w:name w:val="Heading 5 Char"/>
    <w:aliases w:val="D. Heading 5 Char"/>
    <w:basedOn w:val="DefaultParagraphFont"/>
    <w:link w:val="Heading5"/>
    <w:uiPriority w:val="9"/>
    <w:rsid w:val="00295479"/>
    <w:rPr>
      <w:rFonts w:ascii="Arial" w:eastAsiaTheme="majorEastAsia" w:hAnsi="Arial" w:cstheme="majorBidi"/>
      <w:b/>
      <w:i/>
      <w:color w:val="000000" w:themeColor="text1"/>
      <w:sz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1A5325"/>
    <w:pPr>
      <w:spacing w:before="480"/>
      <w:outlineLvl w:val="9"/>
    </w:pPr>
    <w:rPr>
      <w:rFonts w:asciiTheme="majorHAnsi" w:hAnsiTheme="majorHAnsi"/>
      <w:color w:val="033740" w:themeColor="accent1" w:themeShade="BF"/>
      <w:sz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D03498"/>
    <w:pPr>
      <w:tabs>
        <w:tab w:val="left" w:leader="dot" w:pos="8640"/>
      </w:tabs>
      <w:spacing w:before="0"/>
      <w:ind w:left="187"/>
    </w:pPr>
    <w:rPr>
      <w:rFonts w:asciiTheme="minorHAnsi" w:hAnsiTheme="minorHAnsi" w:cstheme="minorHAnsi"/>
      <w:color w:val="000000" w:themeColor="text1"/>
      <w:sz w:val="22"/>
    </w:rPr>
  </w:style>
  <w:style w:type="paragraph" w:styleId="TOC3">
    <w:name w:val="toc 3"/>
    <w:basedOn w:val="Normal"/>
    <w:next w:val="Normal"/>
    <w:autoRedefine/>
    <w:uiPriority w:val="39"/>
    <w:unhideWhenUsed/>
    <w:rsid w:val="0081721C"/>
    <w:pPr>
      <w:tabs>
        <w:tab w:val="left" w:leader="dot" w:pos="8640"/>
      </w:tabs>
      <w:spacing w:before="0"/>
      <w:ind w:left="187"/>
    </w:pPr>
    <w:rPr>
      <w:rFonts w:asciiTheme="minorHAnsi" w:hAnsiTheme="minorHAnsi" w:cstheme="minorHAnsi"/>
      <w:sz w:val="22"/>
    </w:rPr>
  </w:style>
  <w:style w:type="character" w:styleId="Hyperlink">
    <w:name w:val="Hyperlink"/>
    <w:basedOn w:val="DefaultParagraphFont"/>
    <w:uiPriority w:val="99"/>
    <w:unhideWhenUsed/>
    <w:rsid w:val="001A5325"/>
    <w:rPr>
      <w:color w:val="007299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1721C"/>
    <w:pPr>
      <w:tabs>
        <w:tab w:val="left" w:leader="dot" w:pos="8640"/>
      </w:tabs>
      <w:spacing w:before="120"/>
    </w:pPr>
    <w:rPr>
      <w:rFonts w:asciiTheme="minorHAnsi" w:hAnsiTheme="minorHAnsi" w:cstheme="minorHAnsi"/>
      <w:b/>
      <w:color w:val="054B56" w:themeColor="text2"/>
      <w:sz w:val="24"/>
      <w:szCs w:val="24"/>
    </w:rPr>
  </w:style>
  <w:style w:type="paragraph" w:styleId="ListBullet3">
    <w:name w:val="List Bullet 3"/>
    <w:aliases w:val="C. List Bullet 3"/>
    <w:basedOn w:val="Normal"/>
    <w:uiPriority w:val="99"/>
    <w:unhideWhenUsed/>
    <w:qFormat/>
    <w:rsid w:val="00980DD3"/>
    <w:pPr>
      <w:numPr>
        <w:numId w:val="5"/>
      </w:numPr>
      <w:tabs>
        <w:tab w:val="left" w:pos="1296"/>
      </w:tabs>
      <w:spacing w:before="0"/>
      <w:ind w:left="1296" w:hanging="216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DA69FC"/>
    <w:pPr>
      <w:pBdr>
        <w:top w:val="single" w:sz="12" w:space="10" w:color="08ACB9"/>
        <w:bottom w:val="single" w:sz="12" w:space="8" w:color="08ACB9"/>
      </w:pBdr>
    </w:pPr>
    <w:rPr>
      <w:iCs/>
      <w:color w:val="ACA095"/>
      <w:sz w:val="36"/>
    </w:rPr>
  </w:style>
  <w:style w:type="character" w:customStyle="1" w:styleId="QuoteChar">
    <w:name w:val="Quote Char"/>
    <w:basedOn w:val="DefaultParagraphFont"/>
    <w:link w:val="Quote"/>
    <w:uiPriority w:val="29"/>
    <w:rsid w:val="00DA69FC"/>
    <w:rPr>
      <w:rFonts w:ascii="Arial" w:hAnsi="Arial"/>
      <w:iCs/>
      <w:color w:val="ACA095"/>
      <w:sz w:val="36"/>
    </w:rPr>
  </w:style>
  <w:style w:type="paragraph" w:styleId="ListContinue">
    <w:name w:val="List Continue"/>
    <w:basedOn w:val="Normal"/>
    <w:uiPriority w:val="99"/>
    <w:unhideWhenUsed/>
    <w:rsid w:val="00CB09B6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CB09B6"/>
    <w:pPr>
      <w:spacing w:after="120"/>
      <w:ind w:left="720"/>
      <w:contextualSpacing/>
    </w:pPr>
  </w:style>
  <w:style w:type="paragraph" w:styleId="List">
    <w:name w:val="List"/>
    <w:basedOn w:val="Normal"/>
    <w:uiPriority w:val="99"/>
    <w:unhideWhenUsed/>
    <w:rsid w:val="00CB09B6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CB09B6"/>
    <w:pPr>
      <w:ind w:left="720" w:hanging="360"/>
      <w:contextualSpacing/>
    </w:pPr>
  </w:style>
  <w:style w:type="table" w:styleId="TableGrid">
    <w:name w:val="Table Grid"/>
    <w:basedOn w:val="TableNormal"/>
    <w:uiPriority w:val="59"/>
    <w:rsid w:val="00740DE0"/>
    <w:pPr>
      <w:spacing w:after="0" w:line="240" w:lineRule="auto"/>
      <w:jc w:val="center"/>
    </w:pPr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Caption">
    <w:name w:val="caption"/>
    <w:aliases w:val="C. Caption"/>
    <w:basedOn w:val="Normal"/>
    <w:next w:val="Normal"/>
    <w:link w:val="CaptionChar"/>
    <w:uiPriority w:val="35"/>
    <w:unhideWhenUsed/>
    <w:qFormat/>
    <w:rsid w:val="0041474F"/>
    <w:pPr>
      <w:keepNext/>
      <w:pBdr>
        <w:top w:val="single" w:sz="4" w:space="4" w:color="auto"/>
      </w:pBdr>
      <w:spacing w:after="60"/>
    </w:pPr>
    <w:rPr>
      <w:b/>
      <w:bCs/>
      <w:color w:val="404040"/>
      <w:sz w:val="16"/>
      <w:szCs w:val="18"/>
    </w:rPr>
  </w:style>
  <w:style w:type="paragraph" w:customStyle="1" w:styleId="TableTitleRow">
    <w:name w:val="Table Title Row"/>
    <w:link w:val="TableTitleRowChar"/>
    <w:rsid w:val="00C5255D"/>
    <w:pPr>
      <w:spacing w:after="0"/>
      <w:jc w:val="center"/>
    </w:pPr>
    <w:rPr>
      <w:rFonts w:ascii="Arial" w:hAnsi="Arial"/>
      <w:b/>
      <w:bCs/>
      <w:color w:val="FFFFFF" w:themeColor="background1"/>
      <w:sz w:val="16"/>
      <w:szCs w:val="16"/>
    </w:rPr>
  </w:style>
  <w:style w:type="paragraph" w:customStyle="1" w:styleId="CTableContent">
    <w:name w:val="C. Table Content"/>
    <w:link w:val="CTableContentChar"/>
    <w:qFormat/>
    <w:rsid w:val="0074743A"/>
    <w:pPr>
      <w:framePr w:hSpace="180" w:wrap="around" w:vAnchor="page" w:hAnchor="page" w:x="1153" w:y="6445"/>
      <w:spacing w:after="0" w:line="240" w:lineRule="auto"/>
    </w:pPr>
    <w:rPr>
      <w:rFonts w:ascii="Arial" w:hAnsi="Arial"/>
      <w:bCs/>
      <w:sz w:val="18"/>
      <w:szCs w:val="18"/>
    </w:rPr>
  </w:style>
  <w:style w:type="character" w:customStyle="1" w:styleId="CaptionChar">
    <w:name w:val="Caption Char"/>
    <w:aliases w:val="C. Caption Char"/>
    <w:basedOn w:val="DefaultParagraphFont"/>
    <w:link w:val="Caption"/>
    <w:uiPriority w:val="35"/>
    <w:rsid w:val="0041474F"/>
    <w:rPr>
      <w:rFonts w:ascii="Arial" w:hAnsi="Arial"/>
      <w:b/>
      <w:bCs/>
      <w:color w:val="404040"/>
      <w:sz w:val="16"/>
      <w:szCs w:val="18"/>
    </w:rPr>
  </w:style>
  <w:style w:type="character" w:customStyle="1" w:styleId="TableTitleRowChar">
    <w:name w:val="Table Title Row Char"/>
    <w:basedOn w:val="CaptionChar"/>
    <w:link w:val="TableTitleRow"/>
    <w:rsid w:val="00C5255D"/>
    <w:rPr>
      <w:rFonts w:ascii="Arial" w:hAnsi="Arial"/>
      <w:b/>
      <w:bCs/>
      <w:color w:val="FFFFFF" w:themeColor="background1"/>
      <w:sz w:val="16"/>
      <w:szCs w:val="16"/>
    </w:rPr>
  </w:style>
  <w:style w:type="paragraph" w:customStyle="1" w:styleId="CFootnote">
    <w:name w:val="C. Footnote"/>
    <w:basedOn w:val="Normal"/>
    <w:link w:val="CFootnoteChar"/>
    <w:qFormat/>
    <w:rsid w:val="00A85A0B"/>
    <w:pPr>
      <w:spacing w:before="60" w:after="200"/>
    </w:pPr>
    <w:rPr>
      <w:i/>
      <w:sz w:val="14"/>
      <w:szCs w:val="14"/>
    </w:rPr>
  </w:style>
  <w:style w:type="character" w:customStyle="1" w:styleId="CTableContentChar">
    <w:name w:val="C. Table Content Char"/>
    <w:basedOn w:val="CaptionChar"/>
    <w:link w:val="CTableContent"/>
    <w:rsid w:val="0074743A"/>
    <w:rPr>
      <w:rFonts w:ascii="Arial" w:hAnsi="Arial"/>
      <w:b w:val="0"/>
      <w:bCs/>
      <w:color w:val="404040"/>
      <w:sz w:val="18"/>
      <w:szCs w:val="18"/>
    </w:rPr>
  </w:style>
  <w:style w:type="character" w:customStyle="1" w:styleId="CFootnoteChar">
    <w:name w:val="C. Footnote Char"/>
    <w:basedOn w:val="DefaultParagraphFont"/>
    <w:link w:val="CFootnote"/>
    <w:rsid w:val="00A85A0B"/>
    <w:rPr>
      <w:rFonts w:ascii="Arial" w:hAnsi="Arial"/>
      <w:i/>
      <w:sz w:val="14"/>
      <w:szCs w:val="14"/>
    </w:rPr>
  </w:style>
  <w:style w:type="paragraph" w:customStyle="1" w:styleId="EPageHeader">
    <w:name w:val="E. Page Header"/>
    <w:link w:val="EPageHeaderChar"/>
    <w:qFormat/>
    <w:rsid w:val="00225906"/>
    <w:pPr>
      <w:tabs>
        <w:tab w:val="right" w:pos="10080"/>
      </w:tabs>
      <w:spacing w:after="0" w:line="240" w:lineRule="auto"/>
    </w:pPr>
    <w:rPr>
      <w:rFonts w:ascii="Arial" w:hAnsi="Arial"/>
      <w:color w:val="054B56"/>
      <w:sz w:val="16"/>
      <w:szCs w:val="16"/>
      <w:lang w:eastAsia="ja-JP"/>
    </w:rPr>
  </w:style>
  <w:style w:type="character" w:customStyle="1" w:styleId="EPageHeaderChar">
    <w:name w:val="E. Page Header Char"/>
    <w:basedOn w:val="DefaultParagraphFont"/>
    <w:link w:val="EPageHeader"/>
    <w:rsid w:val="00225906"/>
    <w:rPr>
      <w:rFonts w:ascii="Arial" w:hAnsi="Arial"/>
      <w:color w:val="054B56"/>
      <w:sz w:val="16"/>
      <w:szCs w:val="16"/>
      <w:lang w:eastAsia="ja-JP"/>
    </w:rPr>
  </w:style>
  <w:style w:type="table" w:customStyle="1" w:styleId="CLEAResultTable">
    <w:name w:val="CLEAResult Table"/>
    <w:basedOn w:val="TableGrid1"/>
    <w:uiPriority w:val="99"/>
    <w:rsid w:val="00E05FCA"/>
    <w:pPr>
      <w:spacing w:after="0" w:line="240" w:lineRule="auto"/>
    </w:pPr>
    <w:rPr>
      <w:rFonts w:ascii="Arial" w:hAnsi="Arial"/>
      <w:sz w:val="20"/>
      <w:szCs w:val="16"/>
    </w:rPr>
    <w:tblPr>
      <w:tblStyleRowBandSize w:val="1"/>
      <w:tblStyleColBandSize w:val="1"/>
      <w:tblBorders>
        <w:top w:val="single" w:sz="4" w:space="0" w:color="92B7BC"/>
        <w:left w:val="single" w:sz="4" w:space="0" w:color="92B7BC"/>
        <w:bottom w:val="single" w:sz="4" w:space="0" w:color="92B7BC"/>
        <w:right w:val="single" w:sz="4" w:space="0" w:color="92B7BC"/>
        <w:insideH w:val="single" w:sz="4" w:space="0" w:color="92B7BC"/>
        <w:insideV w:val="single" w:sz="4" w:space="0" w:color="92B7BC"/>
      </w:tblBorders>
      <w:tblCellMar>
        <w:top w:w="29" w:type="dxa"/>
        <w:left w:w="72" w:type="dxa"/>
        <w:bottom w:w="29" w:type="dxa"/>
        <w:right w:w="72" w:type="dxa"/>
      </w:tblCellMar>
    </w:tblPr>
    <w:tcPr>
      <w:shd w:val="clear" w:color="auto" w:fill="auto"/>
      <w:vAlign w:val="center"/>
    </w:tcPr>
    <w:tblStylePr w:type="firstRow">
      <w:pPr>
        <w:jc w:val="left"/>
      </w:pPr>
      <w:rPr>
        <w:b/>
        <w:color w:val="FFFFFF" w:themeColor="background1"/>
        <w:sz w:val="20"/>
      </w:rPr>
      <w:tblPr/>
      <w:tcPr>
        <w:shd w:val="clear" w:color="auto" w:fill="007299"/>
      </w:tcPr>
    </w:tblStylePr>
    <w:tblStylePr w:type="lastRow">
      <w:pPr>
        <w:jc w:val="center"/>
      </w:pPr>
      <w:rPr>
        <w:b/>
        <w:i w:val="0"/>
        <w:iCs/>
        <w:color w:val="000000" w:themeColor="text1"/>
      </w:rPr>
      <w:tblPr/>
      <w:tcPr>
        <w:shd w:val="clear" w:color="auto" w:fill="EFE9E5"/>
      </w:tcPr>
    </w:tblStylePr>
    <w:tblStylePr w:type="firstCol">
      <w:pPr>
        <w:jc w:val="center"/>
      </w:pPr>
      <w:tblPr/>
      <w:tcPr>
        <w:shd w:val="clear" w:color="auto" w:fill="F4CE00"/>
      </w:tcPr>
    </w:tblStylePr>
    <w:tblStylePr w:type="lastCol">
      <w:rPr>
        <w:b/>
        <w:i w:val="0"/>
        <w:iCs/>
      </w:rPr>
      <w:tblPr/>
      <w:tcPr>
        <w:shd w:val="clear" w:color="auto" w:fill="EFE9E5"/>
      </w:tcPr>
    </w:tblStylePr>
  </w:style>
  <w:style w:type="table" w:styleId="LightShading">
    <w:name w:val="Light Shading"/>
    <w:basedOn w:val="TableNormal"/>
    <w:uiPriority w:val="60"/>
    <w:rsid w:val="00070D2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1">
    <w:name w:val="Light List Accent 1"/>
    <w:basedOn w:val="TableNormal"/>
    <w:uiPriority w:val="61"/>
    <w:rsid w:val="009F6C8A"/>
    <w:pPr>
      <w:spacing w:after="0" w:line="240" w:lineRule="auto"/>
    </w:pPr>
    <w:tblPr>
      <w:tblStyleRowBandSize w:val="1"/>
      <w:tblStyleColBandSize w:val="1"/>
      <w:tblBorders>
        <w:top w:val="single" w:sz="8" w:space="0" w:color="054B56" w:themeColor="accent1"/>
        <w:left w:val="single" w:sz="8" w:space="0" w:color="054B56" w:themeColor="accent1"/>
        <w:bottom w:val="single" w:sz="8" w:space="0" w:color="054B56" w:themeColor="accent1"/>
        <w:right w:val="single" w:sz="8" w:space="0" w:color="054B5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54B5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54B56" w:themeColor="accent1"/>
          <w:left w:val="single" w:sz="8" w:space="0" w:color="054B56" w:themeColor="accent1"/>
          <w:bottom w:val="single" w:sz="8" w:space="0" w:color="054B56" w:themeColor="accent1"/>
          <w:right w:val="single" w:sz="8" w:space="0" w:color="054B5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54B56" w:themeColor="accent1"/>
          <w:left w:val="single" w:sz="8" w:space="0" w:color="054B56" w:themeColor="accent1"/>
          <w:bottom w:val="single" w:sz="8" w:space="0" w:color="054B56" w:themeColor="accent1"/>
          <w:right w:val="single" w:sz="8" w:space="0" w:color="054B56" w:themeColor="accent1"/>
        </w:tcBorders>
      </w:tcPr>
    </w:tblStylePr>
    <w:tblStylePr w:type="band1Horz">
      <w:tblPr/>
      <w:tcPr>
        <w:tcBorders>
          <w:top w:val="single" w:sz="8" w:space="0" w:color="054B56" w:themeColor="accent1"/>
          <w:left w:val="single" w:sz="8" w:space="0" w:color="054B56" w:themeColor="accent1"/>
          <w:bottom w:val="single" w:sz="8" w:space="0" w:color="054B56" w:themeColor="accent1"/>
          <w:right w:val="single" w:sz="8" w:space="0" w:color="054B56" w:themeColor="accent1"/>
        </w:tcBorders>
      </w:tcPr>
    </w:tblStylePr>
  </w:style>
  <w:style w:type="paragraph" w:customStyle="1" w:styleId="Table">
    <w:name w:val="Table"/>
    <w:basedOn w:val="Normal"/>
    <w:rsid w:val="00100F20"/>
    <w:pPr>
      <w:spacing w:line="240" w:lineRule="auto"/>
      <w:jc w:val="center"/>
    </w:pPr>
    <w:rPr>
      <w:sz w:val="16"/>
      <w:lang w:val="en"/>
    </w:rPr>
  </w:style>
  <w:style w:type="table" w:styleId="TableGrid1">
    <w:name w:val="Table Grid 1"/>
    <w:basedOn w:val="TableNormal"/>
    <w:uiPriority w:val="99"/>
    <w:semiHidden/>
    <w:unhideWhenUsed/>
    <w:rsid w:val="00740DE0"/>
    <w:pPr>
      <w:spacing w:after="10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paragraph" w:customStyle="1" w:styleId="TaglineFooter">
    <w:name w:val="Tagline Footer"/>
    <w:rsid w:val="0053066E"/>
    <w:pPr>
      <w:spacing w:after="0"/>
      <w:jc w:val="right"/>
    </w:pPr>
    <w:rPr>
      <w:rFonts w:ascii="Arial" w:hAnsi="Arial"/>
      <w:color w:val="F50000"/>
      <w:sz w:val="16"/>
      <w:szCs w:val="16"/>
    </w:rPr>
  </w:style>
  <w:style w:type="paragraph" w:customStyle="1" w:styleId="CParagraphBullets">
    <w:name w:val="C. Paragraph Bullets"/>
    <w:basedOn w:val="ListBullet"/>
    <w:qFormat/>
    <w:rsid w:val="001D2FFA"/>
    <w:pPr>
      <w:spacing w:before="100"/>
    </w:pPr>
  </w:style>
  <w:style w:type="paragraph" w:customStyle="1" w:styleId="1-CoverReportDetailsTitle">
    <w:name w:val="1-Cover: Report Details Title"/>
    <w:link w:val="1-CoverReportDetailsTitleChar"/>
    <w:rsid w:val="00B26C87"/>
    <w:pPr>
      <w:spacing w:before="200" w:after="300"/>
      <w:contextualSpacing/>
    </w:pPr>
    <w:rPr>
      <w:rFonts w:ascii="Arial" w:hAnsi="Arial" w:cs="Arial"/>
      <w:b/>
      <w:color w:val="007299"/>
      <w:szCs w:val="20"/>
    </w:rPr>
  </w:style>
  <w:style w:type="character" w:customStyle="1" w:styleId="1-CoverReportDetailsTitleChar">
    <w:name w:val="1-Cover: Report Details Title Char"/>
    <w:basedOn w:val="ACoverDateChar"/>
    <w:link w:val="1-CoverReportDetailsTitle"/>
    <w:rsid w:val="00B26C87"/>
    <w:rPr>
      <w:rFonts w:ascii="Arial" w:hAnsi="Arial" w:cs="Arial"/>
      <w:b/>
      <w:color w:val="007299"/>
      <w:szCs w:val="20"/>
    </w:rPr>
  </w:style>
  <w:style w:type="character" w:customStyle="1" w:styleId="ACoverDetailsChar">
    <w:name w:val="A. Cover: Details Char"/>
    <w:basedOn w:val="DefaultParagraphFont"/>
    <w:link w:val="ACoverDetails"/>
    <w:uiPriority w:val="1"/>
    <w:qFormat/>
    <w:rsid w:val="00B26C87"/>
  </w:style>
  <w:style w:type="paragraph" w:customStyle="1" w:styleId="ACoverDetails">
    <w:name w:val="A. Cover: Details"/>
    <w:basedOn w:val="Normal"/>
    <w:link w:val="ACoverDetailsChar"/>
    <w:uiPriority w:val="1"/>
    <w:qFormat/>
    <w:rsid w:val="00B26C87"/>
    <w:rPr>
      <w:rFonts w:asciiTheme="minorHAnsi" w:hAnsiTheme="minorHAnsi"/>
      <w:sz w:val="22"/>
    </w:rPr>
  </w:style>
  <w:style w:type="paragraph" w:styleId="TOC4">
    <w:name w:val="toc 4"/>
    <w:basedOn w:val="Normal"/>
    <w:next w:val="Normal"/>
    <w:autoRedefine/>
    <w:uiPriority w:val="39"/>
    <w:unhideWhenUsed/>
    <w:rsid w:val="0081721C"/>
    <w:pPr>
      <w:tabs>
        <w:tab w:val="left" w:leader="dot" w:pos="8640"/>
      </w:tabs>
      <w:spacing w:before="0"/>
      <w:ind w:left="187"/>
    </w:pPr>
    <w:rPr>
      <w:rFonts w:asciiTheme="minorHAnsi" w:hAnsiTheme="minorHAnsi" w:cstheme="minorHAnsi"/>
      <w:sz w:val="22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81721C"/>
    <w:pPr>
      <w:tabs>
        <w:tab w:val="left" w:leader="dot" w:pos="8640"/>
      </w:tabs>
      <w:spacing w:before="0"/>
      <w:ind w:left="187"/>
    </w:pPr>
    <w:rPr>
      <w:rFonts w:asciiTheme="minorHAnsi" w:hAnsiTheme="minorHAnsi" w:cstheme="minorHAnsi"/>
      <w:sz w:val="22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81721C"/>
    <w:pPr>
      <w:tabs>
        <w:tab w:val="left" w:leader="dot" w:pos="8640"/>
      </w:tabs>
      <w:spacing w:before="0"/>
      <w:ind w:left="187"/>
    </w:pPr>
    <w:rPr>
      <w:rFonts w:asciiTheme="minorHAnsi" w:hAnsiTheme="minorHAnsi" w:cstheme="minorHAnsi"/>
      <w:sz w:val="22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81721C"/>
    <w:pPr>
      <w:tabs>
        <w:tab w:val="left" w:leader="dot" w:pos="8640"/>
      </w:tabs>
      <w:spacing w:before="0"/>
      <w:ind w:left="187"/>
    </w:pPr>
    <w:rPr>
      <w:rFonts w:asciiTheme="minorHAnsi" w:hAnsiTheme="minorHAnsi" w:cstheme="minorHAnsi"/>
      <w:sz w:val="22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81721C"/>
    <w:pPr>
      <w:tabs>
        <w:tab w:val="left" w:leader="dot" w:pos="8640"/>
      </w:tabs>
      <w:spacing w:before="0"/>
      <w:ind w:left="187"/>
    </w:pPr>
    <w:rPr>
      <w:rFonts w:asciiTheme="minorHAnsi" w:hAnsiTheme="minorHAnsi" w:cstheme="minorHAnsi"/>
      <w:sz w:val="22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81721C"/>
    <w:pPr>
      <w:tabs>
        <w:tab w:val="left" w:pos="8640"/>
      </w:tabs>
      <w:spacing w:before="0"/>
      <w:ind w:left="187"/>
    </w:pPr>
    <w:rPr>
      <w:rFonts w:asciiTheme="minorHAnsi" w:hAnsiTheme="minorHAnsi" w:cstheme="minorHAnsi"/>
      <w:sz w:val="22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639B3"/>
    <w:pPr>
      <w:spacing w:before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639B3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E639B3"/>
    <w:rPr>
      <w:vertAlign w:val="superscript"/>
    </w:rPr>
  </w:style>
  <w:style w:type="table" w:styleId="LightList-Accent2">
    <w:name w:val="Light List Accent 2"/>
    <w:basedOn w:val="TableNormal"/>
    <w:uiPriority w:val="61"/>
    <w:rsid w:val="00E639B3"/>
    <w:pPr>
      <w:spacing w:after="0" w:line="240" w:lineRule="auto"/>
    </w:pPr>
    <w:tblPr>
      <w:tblStyleRowBandSize w:val="1"/>
      <w:tblStyleColBandSize w:val="1"/>
      <w:tblBorders>
        <w:top w:val="single" w:sz="8" w:space="0" w:color="007299" w:themeColor="accent2"/>
        <w:left w:val="single" w:sz="8" w:space="0" w:color="007299" w:themeColor="accent2"/>
        <w:bottom w:val="single" w:sz="8" w:space="0" w:color="007299" w:themeColor="accent2"/>
        <w:right w:val="single" w:sz="8" w:space="0" w:color="00729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729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99" w:themeColor="accent2"/>
          <w:left w:val="single" w:sz="8" w:space="0" w:color="007299" w:themeColor="accent2"/>
          <w:bottom w:val="single" w:sz="8" w:space="0" w:color="007299" w:themeColor="accent2"/>
          <w:right w:val="single" w:sz="8" w:space="0" w:color="00729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99" w:themeColor="accent2"/>
          <w:left w:val="single" w:sz="8" w:space="0" w:color="007299" w:themeColor="accent2"/>
          <w:bottom w:val="single" w:sz="8" w:space="0" w:color="007299" w:themeColor="accent2"/>
          <w:right w:val="single" w:sz="8" w:space="0" w:color="007299" w:themeColor="accent2"/>
        </w:tcBorders>
      </w:tcPr>
    </w:tblStylePr>
    <w:tblStylePr w:type="band1Horz">
      <w:tblPr/>
      <w:tcPr>
        <w:tcBorders>
          <w:top w:val="single" w:sz="8" w:space="0" w:color="007299" w:themeColor="accent2"/>
          <w:left w:val="single" w:sz="8" w:space="0" w:color="007299" w:themeColor="accent2"/>
          <w:bottom w:val="single" w:sz="8" w:space="0" w:color="007299" w:themeColor="accent2"/>
          <w:right w:val="single" w:sz="8" w:space="0" w:color="007299" w:themeColor="accent2"/>
        </w:tcBorders>
      </w:tcPr>
    </w:tblStylePr>
  </w:style>
  <w:style w:type="paragraph" w:styleId="CommentText">
    <w:name w:val="annotation text"/>
    <w:basedOn w:val="Normal"/>
    <w:link w:val="CommentTextChar"/>
    <w:uiPriority w:val="99"/>
    <w:unhideWhenUsed/>
    <w:rsid w:val="007F38F5"/>
    <w:pPr>
      <w:spacing w:before="200" w:after="200" w:line="240" w:lineRule="auto"/>
      <w:ind w:left="360"/>
      <w:jc w:val="both"/>
    </w:pPr>
    <w:rPr>
      <w:rFonts w:ascii="Georgia" w:eastAsiaTheme="minorEastAsia" w:hAnsi="Georgia"/>
      <w:sz w:val="22"/>
      <w:szCs w:val="20"/>
      <w:lang w:bidi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38F5"/>
    <w:rPr>
      <w:rFonts w:ascii="Georgia" w:eastAsiaTheme="minorEastAsia" w:hAnsi="Georgia"/>
      <w:szCs w:val="20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F38F5"/>
    <w:rPr>
      <w:sz w:val="16"/>
      <w:szCs w:val="16"/>
    </w:rPr>
  </w:style>
  <w:style w:type="character" w:styleId="EndnoteReference">
    <w:name w:val="endnote reference"/>
    <w:rsid w:val="007F38F5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rsid w:val="007F38F5"/>
    <w:pPr>
      <w:spacing w:before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7F38F5"/>
    <w:rPr>
      <w:rFonts w:ascii="Times New Roman" w:eastAsia="Calibri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7F38F5"/>
    <w:pPr>
      <w:spacing w:before="200" w:after="120" w:line="480" w:lineRule="auto"/>
      <w:ind w:left="360"/>
    </w:pPr>
    <w:rPr>
      <w:rFonts w:ascii="Georgia" w:eastAsiaTheme="minorEastAsia" w:hAnsi="Georgia"/>
      <w:sz w:val="22"/>
      <w:szCs w:val="20"/>
      <w:lang w:bidi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F38F5"/>
    <w:rPr>
      <w:rFonts w:ascii="Georgia" w:eastAsiaTheme="minorEastAsia" w:hAnsi="Georgia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1415"/>
    <w:pPr>
      <w:spacing w:before="100" w:after="0"/>
      <w:ind w:left="0"/>
      <w:jc w:val="left"/>
    </w:pPr>
    <w:rPr>
      <w:rFonts w:ascii="Arial" w:eastAsiaTheme="minorHAnsi" w:hAnsi="Arial"/>
      <w:b/>
      <w:bCs/>
      <w:sz w:val="20"/>
      <w:lang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1415"/>
    <w:rPr>
      <w:rFonts w:ascii="Arial" w:eastAsiaTheme="minorEastAsia" w:hAnsi="Arial"/>
      <w:b/>
      <w:bCs/>
      <w:sz w:val="20"/>
      <w:szCs w:val="20"/>
      <w:lang w:bidi="en-US"/>
    </w:rPr>
  </w:style>
  <w:style w:type="table" w:styleId="MediumShading2-Accent2">
    <w:name w:val="Medium Shading 2 Accent 2"/>
    <w:basedOn w:val="TableNormal"/>
    <w:uiPriority w:val="64"/>
    <w:rsid w:val="004B7AB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9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9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9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4">
    <w:name w:val="Light List Accent 4"/>
    <w:basedOn w:val="TableNormal"/>
    <w:uiPriority w:val="61"/>
    <w:rsid w:val="00E50B70"/>
    <w:pPr>
      <w:spacing w:after="0" w:line="240" w:lineRule="auto"/>
    </w:pPr>
    <w:tblPr>
      <w:tblStyleRowBandSize w:val="1"/>
      <w:tblStyleColBandSize w:val="1"/>
      <w:tblBorders>
        <w:top w:val="single" w:sz="8" w:space="0" w:color="92B7BC" w:themeColor="accent4"/>
        <w:left w:val="single" w:sz="8" w:space="0" w:color="92B7BC" w:themeColor="accent4"/>
        <w:bottom w:val="single" w:sz="8" w:space="0" w:color="92B7BC" w:themeColor="accent4"/>
        <w:right w:val="single" w:sz="8" w:space="0" w:color="92B7B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2B7B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2B7BC" w:themeColor="accent4"/>
          <w:left w:val="single" w:sz="8" w:space="0" w:color="92B7BC" w:themeColor="accent4"/>
          <w:bottom w:val="single" w:sz="8" w:space="0" w:color="92B7BC" w:themeColor="accent4"/>
          <w:right w:val="single" w:sz="8" w:space="0" w:color="92B7B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2B7BC" w:themeColor="accent4"/>
          <w:left w:val="single" w:sz="8" w:space="0" w:color="92B7BC" w:themeColor="accent4"/>
          <w:bottom w:val="single" w:sz="8" w:space="0" w:color="92B7BC" w:themeColor="accent4"/>
          <w:right w:val="single" w:sz="8" w:space="0" w:color="92B7BC" w:themeColor="accent4"/>
        </w:tcBorders>
      </w:tcPr>
    </w:tblStylePr>
    <w:tblStylePr w:type="band1Horz">
      <w:tblPr/>
      <w:tcPr>
        <w:tcBorders>
          <w:top w:val="single" w:sz="8" w:space="0" w:color="92B7BC" w:themeColor="accent4"/>
          <w:left w:val="single" w:sz="8" w:space="0" w:color="92B7BC" w:themeColor="accent4"/>
          <w:bottom w:val="single" w:sz="8" w:space="0" w:color="92B7BC" w:themeColor="accent4"/>
          <w:right w:val="single" w:sz="8" w:space="0" w:color="92B7BC" w:themeColor="accent4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05126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Bullet" w:qFormat="1"/>
    <w:lsdException w:name="List Number" w:qFormat="1"/>
    <w:lsdException w:name="List Bullet 2" w:qFormat="1"/>
    <w:lsdException w:name="List Bullet 3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C. Normal"/>
    <w:qFormat/>
    <w:rsid w:val="00A85A0B"/>
    <w:pPr>
      <w:spacing w:before="100" w:after="0"/>
    </w:pPr>
    <w:rPr>
      <w:rFonts w:ascii="Arial" w:hAnsi="Arial"/>
      <w:sz w:val="18"/>
    </w:rPr>
  </w:style>
  <w:style w:type="paragraph" w:styleId="Heading1">
    <w:name w:val="heading 1"/>
    <w:aliases w:val="D. Heading 1"/>
    <w:basedOn w:val="Normal"/>
    <w:next w:val="Normal"/>
    <w:link w:val="Heading1Char"/>
    <w:uiPriority w:val="9"/>
    <w:qFormat/>
    <w:rsid w:val="00A85A0B"/>
    <w:pPr>
      <w:keepNext/>
      <w:keepLines/>
      <w:spacing w:before="200"/>
      <w:outlineLvl w:val="0"/>
    </w:pPr>
    <w:rPr>
      <w:rFonts w:eastAsiaTheme="majorEastAsia" w:cstheme="majorBidi"/>
      <w:b/>
      <w:bCs/>
      <w:color w:val="054B56"/>
      <w:sz w:val="32"/>
      <w:szCs w:val="28"/>
    </w:rPr>
  </w:style>
  <w:style w:type="paragraph" w:styleId="Heading2">
    <w:name w:val="heading 2"/>
    <w:aliases w:val="D. Heading 2"/>
    <w:basedOn w:val="Normal"/>
    <w:next w:val="Normal"/>
    <w:link w:val="Heading2Char"/>
    <w:uiPriority w:val="9"/>
    <w:unhideWhenUsed/>
    <w:qFormat/>
    <w:rsid w:val="002261E6"/>
    <w:pPr>
      <w:keepNext/>
      <w:keepLines/>
      <w:spacing w:before="200"/>
      <w:outlineLvl w:val="1"/>
    </w:pPr>
    <w:rPr>
      <w:rFonts w:eastAsiaTheme="majorEastAsia" w:cstheme="majorBidi"/>
      <w:bCs/>
      <w:caps/>
      <w:color w:val="054B56"/>
      <w:sz w:val="24"/>
      <w:szCs w:val="26"/>
    </w:rPr>
  </w:style>
  <w:style w:type="paragraph" w:styleId="Heading3">
    <w:name w:val="heading 3"/>
    <w:aliases w:val="D. Heading 3"/>
    <w:basedOn w:val="Normal"/>
    <w:next w:val="Normal"/>
    <w:link w:val="Heading3Char"/>
    <w:uiPriority w:val="9"/>
    <w:unhideWhenUsed/>
    <w:qFormat/>
    <w:rsid w:val="00C04055"/>
    <w:pPr>
      <w:keepNext/>
      <w:keepLines/>
      <w:spacing w:before="200"/>
      <w:outlineLvl w:val="2"/>
    </w:pPr>
    <w:rPr>
      <w:rFonts w:eastAsiaTheme="majorEastAsia" w:cstheme="majorBidi"/>
      <w:b/>
      <w:bCs/>
      <w:caps/>
      <w:color w:val="000000" w:themeColor="text1"/>
      <w:sz w:val="24"/>
    </w:rPr>
  </w:style>
  <w:style w:type="paragraph" w:styleId="Heading4">
    <w:name w:val="heading 4"/>
    <w:aliases w:val="D. Heading 4"/>
    <w:basedOn w:val="Normal"/>
    <w:next w:val="Normal"/>
    <w:link w:val="Heading4Char"/>
    <w:uiPriority w:val="9"/>
    <w:unhideWhenUsed/>
    <w:qFormat/>
    <w:rsid w:val="00295479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000000" w:themeColor="text1"/>
      <w:sz w:val="20"/>
    </w:rPr>
  </w:style>
  <w:style w:type="paragraph" w:styleId="Heading5">
    <w:name w:val="heading 5"/>
    <w:aliases w:val="D. Heading 5"/>
    <w:basedOn w:val="Normal"/>
    <w:next w:val="Normal"/>
    <w:link w:val="Heading5Char"/>
    <w:uiPriority w:val="9"/>
    <w:unhideWhenUsed/>
    <w:qFormat/>
    <w:rsid w:val="00295479"/>
    <w:pPr>
      <w:keepNext/>
      <w:keepLines/>
      <w:spacing w:before="200"/>
      <w:outlineLvl w:val="4"/>
    </w:pPr>
    <w:rPr>
      <w:rFonts w:eastAsiaTheme="majorEastAsia" w:cstheme="majorBidi"/>
      <w:b/>
      <w:i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B6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B67"/>
  </w:style>
  <w:style w:type="paragraph" w:styleId="Footer">
    <w:name w:val="footer"/>
    <w:aliases w:val="p.1 Footer"/>
    <w:basedOn w:val="Normal"/>
    <w:link w:val="FooterChar"/>
    <w:uiPriority w:val="99"/>
    <w:unhideWhenUsed/>
    <w:rsid w:val="00992FDD"/>
    <w:pPr>
      <w:tabs>
        <w:tab w:val="center" w:pos="4680"/>
        <w:tab w:val="right" w:pos="9360"/>
      </w:tabs>
      <w:spacing w:line="240" w:lineRule="auto"/>
    </w:pPr>
    <w:rPr>
      <w:sz w:val="12"/>
    </w:rPr>
  </w:style>
  <w:style w:type="character" w:customStyle="1" w:styleId="FooterChar">
    <w:name w:val="Footer Char"/>
    <w:aliases w:val="p.1 Footer Char"/>
    <w:basedOn w:val="DefaultParagraphFont"/>
    <w:link w:val="Footer"/>
    <w:uiPriority w:val="99"/>
    <w:rsid w:val="00992FDD"/>
    <w:rPr>
      <w:rFonts w:ascii="Arial" w:hAnsi="Arial"/>
      <w:sz w:val="1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B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B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D. Heading 1 Char"/>
    <w:basedOn w:val="DefaultParagraphFont"/>
    <w:link w:val="Heading1"/>
    <w:uiPriority w:val="9"/>
    <w:rsid w:val="00A85A0B"/>
    <w:rPr>
      <w:rFonts w:ascii="Arial" w:eastAsiaTheme="majorEastAsia" w:hAnsi="Arial" w:cstheme="majorBidi"/>
      <w:b/>
      <w:bCs/>
      <w:color w:val="054B56"/>
      <w:sz w:val="32"/>
      <w:szCs w:val="28"/>
    </w:rPr>
  </w:style>
  <w:style w:type="paragraph" w:styleId="Title">
    <w:name w:val="Title"/>
    <w:aliases w:val="A. Title"/>
    <w:basedOn w:val="Normal"/>
    <w:next w:val="Normal"/>
    <w:link w:val="TitleChar"/>
    <w:uiPriority w:val="10"/>
    <w:qFormat/>
    <w:rsid w:val="00C772FB"/>
    <w:pPr>
      <w:spacing w:before="0" w:after="300"/>
      <w:contextualSpacing/>
    </w:pPr>
    <w:rPr>
      <w:rFonts w:eastAsiaTheme="majorEastAsia" w:cstheme="majorBidi"/>
      <w:b/>
      <w:color w:val="054B56" w:themeColor="text2"/>
      <w:spacing w:val="5"/>
      <w:kern w:val="28"/>
      <w:sz w:val="60"/>
      <w:szCs w:val="52"/>
    </w:rPr>
  </w:style>
  <w:style w:type="character" w:customStyle="1" w:styleId="TitleChar">
    <w:name w:val="Title Char"/>
    <w:aliases w:val="A. Title Char"/>
    <w:basedOn w:val="DefaultParagraphFont"/>
    <w:link w:val="Title"/>
    <w:uiPriority w:val="10"/>
    <w:rsid w:val="00C772FB"/>
    <w:rPr>
      <w:rFonts w:ascii="Arial" w:eastAsiaTheme="majorEastAsia" w:hAnsi="Arial" w:cstheme="majorBidi"/>
      <w:b/>
      <w:color w:val="054B56" w:themeColor="text2"/>
      <w:spacing w:val="5"/>
      <w:kern w:val="28"/>
      <w:sz w:val="6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553B67"/>
    <w:pPr>
      <w:numPr>
        <w:ilvl w:val="1"/>
      </w:numPr>
      <w:spacing w:after="360"/>
    </w:pPr>
    <w:rPr>
      <w:rFonts w:eastAsiaTheme="majorEastAsia" w:cstheme="majorBidi"/>
      <w:iCs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53B67"/>
    <w:rPr>
      <w:rFonts w:ascii="Arial" w:eastAsiaTheme="majorEastAsia" w:hAnsi="Arial" w:cstheme="majorBidi"/>
      <w:iCs/>
      <w:spacing w:val="15"/>
      <w:sz w:val="32"/>
      <w:szCs w:val="24"/>
    </w:rPr>
  </w:style>
  <w:style w:type="paragraph" w:customStyle="1" w:styleId="ACoverDate">
    <w:name w:val="A. Cover: Date"/>
    <w:basedOn w:val="Normal"/>
    <w:link w:val="ACoverDateChar"/>
    <w:qFormat/>
    <w:rsid w:val="00C772FB"/>
    <w:pPr>
      <w:spacing w:after="200"/>
      <w:contextualSpacing/>
    </w:pPr>
    <w:rPr>
      <w:rFonts w:cs="Arial"/>
      <w:sz w:val="22"/>
      <w:szCs w:val="20"/>
    </w:rPr>
  </w:style>
  <w:style w:type="paragraph" w:customStyle="1" w:styleId="BTableofContents">
    <w:name w:val="B. Table of Contents"/>
    <w:basedOn w:val="Normal"/>
    <w:link w:val="BTableofContentsChar"/>
    <w:qFormat/>
    <w:rsid w:val="00943F1B"/>
    <w:pPr>
      <w:spacing w:before="0" w:after="100"/>
    </w:pPr>
    <w:rPr>
      <w:rFonts w:cs="Arial"/>
      <w:b/>
      <w:color w:val="054B56"/>
      <w:sz w:val="28"/>
      <w:szCs w:val="36"/>
    </w:rPr>
  </w:style>
  <w:style w:type="character" w:customStyle="1" w:styleId="ACoverDateChar">
    <w:name w:val="A. Cover: Date Char"/>
    <w:basedOn w:val="DefaultParagraphFont"/>
    <w:link w:val="ACoverDate"/>
    <w:rsid w:val="00C772FB"/>
    <w:rPr>
      <w:rFonts w:ascii="Arial" w:hAnsi="Arial" w:cs="Arial"/>
      <w:szCs w:val="20"/>
    </w:rPr>
  </w:style>
  <w:style w:type="paragraph" w:customStyle="1" w:styleId="p2Footer">
    <w:name w:val="p.2 Footer"/>
    <w:basedOn w:val="Footer"/>
    <w:link w:val="p2FooterChar"/>
    <w:rsid w:val="00A12732"/>
    <w:rPr>
      <w:i/>
      <w:sz w:val="14"/>
      <w:szCs w:val="14"/>
    </w:rPr>
  </w:style>
  <w:style w:type="character" w:customStyle="1" w:styleId="BTableofContentsChar">
    <w:name w:val="B. Table of Contents Char"/>
    <w:basedOn w:val="DefaultParagraphFont"/>
    <w:link w:val="BTableofContents"/>
    <w:rsid w:val="00943F1B"/>
    <w:rPr>
      <w:rFonts w:ascii="Arial" w:hAnsi="Arial" w:cs="Arial"/>
      <w:b/>
      <w:color w:val="054B56"/>
      <w:sz w:val="28"/>
      <w:szCs w:val="36"/>
    </w:rPr>
  </w:style>
  <w:style w:type="character" w:customStyle="1" w:styleId="Heading2Char">
    <w:name w:val="Heading 2 Char"/>
    <w:aliases w:val="D. Heading 2 Char"/>
    <w:basedOn w:val="DefaultParagraphFont"/>
    <w:link w:val="Heading2"/>
    <w:uiPriority w:val="9"/>
    <w:rsid w:val="002261E6"/>
    <w:rPr>
      <w:rFonts w:ascii="Arial" w:eastAsiaTheme="majorEastAsia" w:hAnsi="Arial" w:cstheme="majorBidi"/>
      <w:bCs/>
      <w:caps/>
      <w:color w:val="054B56"/>
      <w:sz w:val="24"/>
      <w:szCs w:val="26"/>
    </w:rPr>
  </w:style>
  <w:style w:type="character" w:customStyle="1" w:styleId="p2FooterChar">
    <w:name w:val="p.2 Footer Char"/>
    <w:basedOn w:val="FooterChar"/>
    <w:link w:val="p2Footer"/>
    <w:rsid w:val="00A12732"/>
    <w:rPr>
      <w:rFonts w:ascii="Arial" w:hAnsi="Arial"/>
      <w:i/>
      <w:sz w:val="14"/>
      <w:szCs w:val="14"/>
    </w:rPr>
  </w:style>
  <w:style w:type="paragraph" w:styleId="ListParagraph">
    <w:name w:val="List Paragraph"/>
    <w:basedOn w:val="Normal"/>
    <w:uiPriority w:val="34"/>
    <w:qFormat/>
    <w:rsid w:val="004F1D13"/>
    <w:pPr>
      <w:ind w:left="720"/>
      <w:contextualSpacing/>
    </w:pPr>
  </w:style>
  <w:style w:type="paragraph" w:styleId="ListBullet">
    <w:name w:val="List Bullet"/>
    <w:aliases w:val="C. List Bullet"/>
    <w:basedOn w:val="Normal"/>
    <w:uiPriority w:val="99"/>
    <w:unhideWhenUsed/>
    <w:qFormat/>
    <w:rsid w:val="00980DD3"/>
    <w:pPr>
      <w:numPr>
        <w:numId w:val="3"/>
      </w:numPr>
      <w:tabs>
        <w:tab w:val="left" w:pos="576"/>
      </w:tabs>
      <w:spacing w:before="0"/>
      <w:ind w:left="576" w:hanging="216"/>
      <w:contextualSpacing/>
    </w:pPr>
  </w:style>
  <w:style w:type="paragraph" w:styleId="ListBullet2">
    <w:name w:val="List Bullet 2"/>
    <w:aliases w:val="C. List Bullet 2"/>
    <w:basedOn w:val="Normal"/>
    <w:uiPriority w:val="99"/>
    <w:unhideWhenUsed/>
    <w:qFormat/>
    <w:rsid w:val="00980DD3"/>
    <w:pPr>
      <w:numPr>
        <w:numId w:val="4"/>
      </w:numPr>
      <w:tabs>
        <w:tab w:val="left" w:pos="936"/>
      </w:tabs>
      <w:spacing w:before="0"/>
      <w:ind w:left="936" w:hanging="216"/>
      <w:contextualSpacing/>
    </w:pPr>
  </w:style>
  <w:style w:type="character" w:customStyle="1" w:styleId="Heading3Char">
    <w:name w:val="Heading 3 Char"/>
    <w:aliases w:val="D. Heading 3 Char"/>
    <w:basedOn w:val="DefaultParagraphFont"/>
    <w:link w:val="Heading3"/>
    <w:uiPriority w:val="9"/>
    <w:rsid w:val="00C04055"/>
    <w:rPr>
      <w:rFonts w:ascii="Arial" w:eastAsiaTheme="majorEastAsia" w:hAnsi="Arial" w:cstheme="majorBidi"/>
      <w:b/>
      <w:bCs/>
      <w:caps/>
      <w:color w:val="000000" w:themeColor="text1"/>
      <w:sz w:val="24"/>
    </w:rPr>
  </w:style>
  <w:style w:type="character" w:customStyle="1" w:styleId="Heading4Char">
    <w:name w:val="Heading 4 Char"/>
    <w:aliases w:val="D. Heading 4 Char"/>
    <w:basedOn w:val="DefaultParagraphFont"/>
    <w:link w:val="Heading4"/>
    <w:uiPriority w:val="9"/>
    <w:rsid w:val="00295479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paragraph" w:styleId="ListNumber">
    <w:name w:val="List Number"/>
    <w:aliases w:val="C. List Number"/>
    <w:basedOn w:val="Normal"/>
    <w:uiPriority w:val="99"/>
    <w:unhideWhenUsed/>
    <w:qFormat/>
    <w:rsid w:val="00A85A0B"/>
    <w:pPr>
      <w:numPr>
        <w:numId w:val="8"/>
      </w:numPr>
      <w:spacing w:before="0"/>
      <w:ind w:left="576" w:hanging="216"/>
      <w:contextualSpacing/>
    </w:pPr>
    <w:rPr>
      <w:lang w:val="en"/>
    </w:rPr>
  </w:style>
  <w:style w:type="paragraph" w:styleId="ListNumber2">
    <w:name w:val="List Number 2"/>
    <w:aliases w:val="C. List Number 2"/>
    <w:basedOn w:val="Normal"/>
    <w:uiPriority w:val="99"/>
    <w:unhideWhenUsed/>
    <w:qFormat/>
    <w:rsid w:val="00A85A0B"/>
    <w:pPr>
      <w:numPr>
        <w:numId w:val="9"/>
      </w:numPr>
      <w:tabs>
        <w:tab w:val="left" w:pos="936"/>
      </w:tabs>
      <w:spacing w:before="0"/>
      <w:ind w:left="936" w:hanging="216"/>
      <w:contextualSpacing/>
    </w:pPr>
  </w:style>
  <w:style w:type="character" w:customStyle="1" w:styleId="Heading5Char">
    <w:name w:val="Heading 5 Char"/>
    <w:aliases w:val="D. Heading 5 Char"/>
    <w:basedOn w:val="DefaultParagraphFont"/>
    <w:link w:val="Heading5"/>
    <w:uiPriority w:val="9"/>
    <w:rsid w:val="00295479"/>
    <w:rPr>
      <w:rFonts w:ascii="Arial" w:eastAsiaTheme="majorEastAsia" w:hAnsi="Arial" w:cstheme="majorBidi"/>
      <w:b/>
      <w:i/>
      <w:color w:val="000000" w:themeColor="text1"/>
      <w:sz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1A5325"/>
    <w:pPr>
      <w:spacing w:before="480"/>
      <w:outlineLvl w:val="9"/>
    </w:pPr>
    <w:rPr>
      <w:rFonts w:asciiTheme="majorHAnsi" w:hAnsiTheme="majorHAnsi"/>
      <w:color w:val="033740" w:themeColor="accent1" w:themeShade="BF"/>
      <w:sz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D03498"/>
    <w:pPr>
      <w:tabs>
        <w:tab w:val="left" w:leader="dot" w:pos="8640"/>
      </w:tabs>
      <w:spacing w:before="0"/>
      <w:ind w:left="187"/>
    </w:pPr>
    <w:rPr>
      <w:rFonts w:asciiTheme="minorHAnsi" w:hAnsiTheme="minorHAnsi" w:cstheme="minorHAnsi"/>
      <w:color w:val="000000" w:themeColor="text1"/>
      <w:sz w:val="22"/>
    </w:rPr>
  </w:style>
  <w:style w:type="paragraph" w:styleId="TOC3">
    <w:name w:val="toc 3"/>
    <w:basedOn w:val="Normal"/>
    <w:next w:val="Normal"/>
    <w:autoRedefine/>
    <w:uiPriority w:val="39"/>
    <w:unhideWhenUsed/>
    <w:rsid w:val="0081721C"/>
    <w:pPr>
      <w:tabs>
        <w:tab w:val="left" w:leader="dot" w:pos="8640"/>
      </w:tabs>
      <w:spacing w:before="0"/>
      <w:ind w:left="187"/>
    </w:pPr>
    <w:rPr>
      <w:rFonts w:asciiTheme="minorHAnsi" w:hAnsiTheme="minorHAnsi" w:cstheme="minorHAnsi"/>
      <w:sz w:val="22"/>
    </w:rPr>
  </w:style>
  <w:style w:type="character" w:styleId="Hyperlink">
    <w:name w:val="Hyperlink"/>
    <w:basedOn w:val="DefaultParagraphFont"/>
    <w:uiPriority w:val="99"/>
    <w:unhideWhenUsed/>
    <w:rsid w:val="001A5325"/>
    <w:rPr>
      <w:color w:val="007299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1721C"/>
    <w:pPr>
      <w:tabs>
        <w:tab w:val="left" w:leader="dot" w:pos="8640"/>
      </w:tabs>
      <w:spacing w:before="120"/>
    </w:pPr>
    <w:rPr>
      <w:rFonts w:asciiTheme="minorHAnsi" w:hAnsiTheme="minorHAnsi" w:cstheme="minorHAnsi"/>
      <w:b/>
      <w:color w:val="054B56" w:themeColor="text2"/>
      <w:sz w:val="24"/>
      <w:szCs w:val="24"/>
    </w:rPr>
  </w:style>
  <w:style w:type="paragraph" w:styleId="ListBullet3">
    <w:name w:val="List Bullet 3"/>
    <w:aliases w:val="C. List Bullet 3"/>
    <w:basedOn w:val="Normal"/>
    <w:uiPriority w:val="99"/>
    <w:unhideWhenUsed/>
    <w:qFormat/>
    <w:rsid w:val="00980DD3"/>
    <w:pPr>
      <w:numPr>
        <w:numId w:val="5"/>
      </w:numPr>
      <w:tabs>
        <w:tab w:val="left" w:pos="1296"/>
      </w:tabs>
      <w:spacing w:before="0"/>
      <w:ind w:left="1296" w:hanging="216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DA69FC"/>
    <w:pPr>
      <w:pBdr>
        <w:top w:val="single" w:sz="12" w:space="10" w:color="08ACB9"/>
        <w:bottom w:val="single" w:sz="12" w:space="8" w:color="08ACB9"/>
      </w:pBdr>
    </w:pPr>
    <w:rPr>
      <w:iCs/>
      <w:color w:val="ACA095"/>
      <w:sz w:val="36"/>
    </w:rPr>
  </w:style>
  <w:style w:type="character" w:customStyle="1" w:styleId="QuoteChar">
    <w:name w:val="Quote Char"/>
    <w:basedOn w:val="DefaultParagraphFont"/>
    <w:link w:val="Quote"/>
    <w:uiPriority w:val="29"/>
    <w:rsid w:val="00DA69FC"/>
    <w:rPr>
      <w:rFonts w:ascii="Arial" w:hAnsi="Arial"/>
      <w:iCs/>
      <w:color w:val="ACA095"/>
      <w:sz w:val="36"/>
    </w:rPr>
  </w:style>
  <w:style w:type="paragraph" w:styleId="ListContinue">
    <w:name w:val="List Continue"/>
    <w:basedOn w:val="Normal"/>
    <w:uiPriority w:val="99"/>
    <w:unhideWhenUsed/>
    <w:rsid w:val="00CB09B6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CB09B6"/>
    <w:pPr>
      <w:spacing w:after="120"/>
      <w:ind w:left="720"/>
      <w:contextualSpacing/>
    </w:pPr>
  </w:style>
  <w:style w:type="paragraph" w:styleId="List">
    <w:name w:val="List"/>
    <w:basedOn w:val="Normal"/>
    <w:uiPriority w:val="99"/>
    <w:unhideWhenUsed/>
    <w:rsid w:val="00CB09B6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CB09B6"/>
    <w:pPr>
      <w:ind w:left="720" w:hanging="360"/>
      <w:contextualSpacing/>
    </w:pPr>
  </w:style>
  <w:style w:type="table" w:styleId="TableGrid">
    <w:name w:val="Table Grid"/>
    <w:basedOn w:val="TableNormal"/>
    <w:uiPriority w:val="59"/>
    <w:rsid w:val="00740DE0"/>
    <w:pPr>
      <w:spacing w:after="0" w:line="240" w:lineRule="auto"/>
      <w:jc w:val="center"/>
    </w:pPr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Caption">
    <w:name w:val="caption"/>
    <w:aliases w:val="C. Caption"/>
    <w:basedOn w:val="Normal"/>
    <w:next w:val="Normal"/>
    <w:link w:val="CaptionChar"/>
    <w:uiPriority w:val="35"/>
    <w:unhideWhenUsed/>
    <w:qFormat/>
    <w:rsid w:val="0041474F"/>
    <w:pPr>
      <w:keepNext/>
      <w:pBdr>
        <w:top w:val="single" w:sz="4" w:space="4" w:color="auto"/>
      </w:pBdr>
      <w:spacing w:after="60"/>
    </w:pPr>
    <w:rPr>
      <w:b/>
      <w:bCs/>
      <w:color w:val="404040"/>
      <w:sz w:val="16"/>
      <w:szCs w:val="18"/>
    </w:rPr>
  </w:style>
  <w:style w:type="paragraph" w:customStyle="1" w:styleId="TableTitleRow">
    <w:name w:val="Table Title Row"/>
    <w:link w:val="TableTitleRowChar"/>
    <w:rsid w:val="00C5255D"/>
    <w:pPr>
      <w:spacing w:after="0"/>
      <w:jc w:val="center"/>
    </w:pPr>
    <w:rPr>
      <w:rFonts w:ascii="Arial" w:hAnsi="Arial"/>
      <w:b/>
      <w:bCs/>
      <w:color w:val="FFFFFF" w:themeColor="background1"/>
      <w:sz w:val="16"/>
      <w:szCs w:val="16"/>
    </w:rPr>
  </w:style>
  <w:style w:type="paragraph" w:customStyle="1" w:styleId="CTableContent">
    <w:name w:val="C. Table Content"/>
    <w:link w:val="CTableContentChar"/>
    <w:qFormat/>
    <w:rsid w:val="0074743A"/>
    <w:pPr>
      <w:framePr w:hSpace="180" w:wrap="around" w:vAnchor="page" w:hAnchor="page" w:x="1153" w:y="6445"/>
      <w:spacing w:after="0" w:line="240" w:lineRule="auto"/>
    </w:pPr>
    <w:rPr>
      <w:rFonts w:ascii="Arial" w:hAnsi="Arial"/>
      <w:bCs/>
      <w:sz w:val="18"/>
      <w:szCs w:val="18"/>
    </w:rPr>
  </w:style>
  <w:style w:type="character" w:customStyle="1" w:styleId="CaptionChar">
    <w:name w:val="Caption Char"/>
    <w:aliases w:val="C. Caption Char"/>
    <w:basedOn w:val="DefaultParagraphFont"/>
    <w:link w:val="Caption"/>
    <w:uiPriority w:val="35"/>
    <w:rsid w:val="0041474F"/>
    <w:rPr>
      <w:rFonts w:ascii="Arial" w:hAnsi="Arial"/>
      <w:b/>
      <w:bCs/>
      <w:color w:val="404040"/>
      <w:sz w:val="16"/>
      <w:szCs w:val="18"/>
    </w:rPr>
  </w:style>
  <w:style w:type="character" w:customStyle="1" w:styleId="TableTitleRowChar">
    <w:name w:val="Table Title Row Char"/>
    <w:basedOn w:val="CaptionChar"/>
    <w:link w:val="TableTitleRow"/>
    <w:rsid w:val="00C5255D"/>
    <w:rPr>
      <w:rFonts w:ascii="Arial" w:hAnsi="Arial"/>
      <w:b/>
      <w:bCs/>
      <w:color w:val="FFFFFF" w:themeColor="background1"/>
      <w:sz w:val="16"/>
      <w:szCs w:val="16"/>
    </w:rPr>
  </w:style>
  <w:style w:type="paragraph" w:customStyle="1" w:styleId="CFootnote">
    <w:name w:val="C. Footnote"/>
    <w:basedOn w:val="Normal"/>
    <w:link w:val="CFootnoteChar"/>
    <w:qFormat/>
    <w:rsid w:val="00A85A0B"/>
    <w:pPr>
      <w:spacing w:before="60" w:after="200"/>
    </w:pPr>
    <w:rPr>
      <w:i/>
      <w:sz w:val="14"/>
      <w:szCs w:val="14"/>
    </w:rPr>
  </w:style>
  <w:style w:type="character" w:customStyle="1" w:styleId="CTableContentChar">
    <w:name w:val="C. Table Content Char"/>
    <w:basedOn w:val="CaptionChar"/>
    <w:link w:val="CTableContent"/>
    <w:rsid w:val="0074743A"/>
    <w:rPr>
      <w:rFonts w:ascii="Arial" w:hAnsi="Arial"/>
      <w:b w:val="0"/>
      <w:bCs/>
      <w:color w:val="404040"/>
      <w:sz w:val="18"/>
      <w:szCs w:val="18"/>
    </w:rPr>
  </w:style>
  <w:style w:type="character" w:customStyle="1" w:styleId="CFootnoteChar">
    <w:name w:val="C. Footnote Char"/>
    <w:basedOn w:val="DefaultParagraphFont"/>
    <w:link w:val="CFootnote"/>
    <w:rsid w:val="00A85A0B"/>
    <w:rPr>
      <w:rFonts w:ascii="Arial" w:hAnsi="Arial"/>
      <w:i/>
      <w:sz w:val="14"/>
      <w:szCs w:val="14"/>
    </w:rPr>
  </w:style>
  <w:style w:type="paragraph" w:customStyle="1" w:styleId="EPageHeader">
    <w:name w:val="E. Page Header"/>
    <w:link w:val="EPageHeaderChar"/>
    <w:qFormat/>
    <w:rsid w:val="00225906"/>
    <w:pPr>
      <w:tabs>
        <w:tab w:val="right" w:pos="10080"/>
      </w:tabs>
      <w:spacing w:after="0" w:line="240" w:lineRule="auto"/>
    </w:pPr>
    <w:rPr>
      <w:rFonts w:ascii="Arial" w:hAnsi="Arial"/>
      <w:color w:val="054B56"/>
      <w:sz w:val="16"/>
      <w:szCs w:val="16"/>
      <w:lang w:eastAsia="ja-JP"/>
    </w:rPr>
  </w:style>
  <w:style w:type="character" w:customStyle="1" w:styleId="EPageHeaderChar">
    <w:name w:val="E. Page Header Char"/>
    <w:basedOn w:val="DefaultParagraphFont"/>
    <w:link w:val="EPageHeader"/>
    <w:rsid w:val="00225906"/>
    <w:rPr>
      <w:rFonts w:ascii="Arial" w:hAnsi="Arial"/>
      <w:color w:val="054B56"/>
      <w:sz w:val="16"/>
      <w:szCs w:val="16"/>
      <w:lang w:eastAsia="ja-JP"/>
    </w:rPr>
  </w:style>
  <w:style w:type="table" w:customStyle="1" w:styleId="CLEAResultTable">
    <w:name w:val="CLEAResult Table"/>
    <w:basedOn w:val="TableGrid1"/>
    <w:uiPriority w:val="99"/>
    <w:rsid w:val="00E05FCA"/>
    <w:pPr>
      <w:spacing w:after="0" w:line="240" w:lineRule="auto"/>
    </w:pPr>
    <w:rPr>
      <w:rFonts w:ascii="Arial" w:hAnsi="Arial"/>
      <w:sz w:val="20"/>
      <w:szCs w:val="16"/>
    </w:rPr>
    <w:tblPr>
      <w:tblStyleRowBandSize w:val="1"/>
      <w:tblStyleColBandSize w:val="1"/>
      <w:tblBorders>
        <w:top w:val="single" w:sz="4" w:space="0" w:color="92B7BC"/>
        <w:left w:val="single" w:sz="4" w:space="0" w:color="92B7BC"/>
        <w:bottom w:val="single" w:sz="4" w:space="0" w:color="92B7BC"/>
        <w:right w:val="single" w:sz="4" w:space="0" w:color="92B7BC"/>
        <w:insideH w:val="single" w:sz="4" w:space="0" w:color="92B7BC"/>
        <w:insideV w:val="single" w:sz="4" w:space="0" w:color="92B7BC"/>
      </w:tblBorders>
      <w:tblCellMar>
        <w:top w:w="29" w:type="dxa"/>
        <w:left w:w="72" w:type="dxa"/>
        <w:bottom w:w="29" w:type="dxa"/>
        <w:right w:w="72" w:type="dxa"/>
      </w:tblCellMar>
    </w:tblPr>
    <w:tcPr>
      <w:shd w:val="clear" w:color="auto" w:fill="auto"/>
      <w:vAlign w:val="center"/>
    </w:tcPr>
    <w:tblStylePr w:type="firstRow">
      <w:pPr>
        <w:jc w:val="left"/>
      </w:pPr>
      <w:rPr>
        <w:b/>
        <w:color w:val="FFFFFF" w:themeColor="background1"/>
        <w:sz w:val="20"/>
      </w:rPr>
      <w:tblPr/>
      <w:tcPr>
        <w:shd w:val="clear" w:color="auto" w:fill="007299"/>
      </w:tcPr>
    </w:tblStylePr>
    <w:tblStylePr w:type="lastRow">
      <w:pPr>
        <w:jc w:val="center"/>
      </w:pPr>
      <w:rPr>
        <w:b/>
        <w:i w:val="0"/>
        <w:iCs/>
        <w:color w:val="000000" w:themeColor="text1"/>
      </w:rPr>
      <w:tblPr/>
      <w:tcPr>
        <w:shd w:val="clear" w:color="auto" w:fill="EFE9E5"/>
      </w:tcPr>
    </w:tblStylePr>
    <w:tblStylePr w:type="firstCol">
      <w:pPr>
        <w:jc w:val="center"/>
      </w:pPr>
      <w:tblPr/>
      <w:tcPr>
        <w:shd w:val="clear" w:color="auto" w:fill="F4CE00"/>
      </w:tcPr>
    </w:tblStylePr>
    <w:tblStylePr w:type="lastCol">
      <w:rPr>
        <w:b/>
        <w:i w:val="0"/>
        <w:iCs/>
      </w:rPr>
      <w:tblPr/>
      <w:tcPr>
        <w:shd w:val="clear" w:color="auto" w:fill="EFE9E5"/>
      </w:tcPr>
    </w:tblStylePr>
  </w:style>
  <w:style w:type="table" w:styleId="LightShading">
    <w:name w:val="Light Shading"/>
    <w:basedOn w:val="TableNormal"/>
    <w:uiPriority w:val="60"/>
    <w:rsid w:val="00070D2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1">
    <w:name w:val="Light List Accent 1"/>
    <w:basedOn w:val="TableNormal"/>
    <w:uiPriority w:val="61"/>
    <w:rsid w:val="009F6C8A"/>
    <w:pPr>
      <w:spacing w:after="0" w:line="240" w:lineRule="auto"/>
    </w:pPr>
    <w:tblPr>
      <w:tblStyleRowBandSize w:val="1"/>
      <w:tblStyleColBandSize w:val="1"/>
      <w:tblBorders>
        <w:top w:val="single" w:sz="8" w:space="0" w:color="054B56" w:themeColor="accent1"/>
        <w:left w:val="single" w:sz="8" w:space="0" w:color="054B56" w:themeColor="accent1"/>
        <w:bottom w:val="single" w:sz="8" w:space="0" w:color="054B56" w:themeColor="accent1"/>
        <w:right w:val="single" w:sz="8" w:space="0" w:color="054B5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54B5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54B56" w:themeColor="accent1"/>
          <w:left w:val="single" w:sz="8" w:space="0" w:color="054B56" w:themeColor="accent1"/>
          <w:bottom w:val="single" w:sz="8" w:space="0" w:color="054B56" w:themeColor="accent1"/>
          <w:right w:val="single" w:sz="8" w:space="0" w:color="054B5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54B56" w:themeColor="accent1"/>
          <w:left w:val="single" w:sz="8" w:space="0" w:color="054B56" w:themeColor="accent1"/>
          <w:bottom w:val="single" w:sz="8" w:space="0" w:color="054B56" w:themeColor="accent1"/>
          <w:right w:val="single" w:sz="8" w:space="0" w:color="054B56" w:themeColor="accent1"/>
        </w:tcBorders>
      </w:tcPr>
    </w:tblStylePr>
    <w:tblStylePr w:type="band1Horz">
      <w:tblPr/>
      <w:tcPr>
        <w:tcBorders>
          <w:top w:val="single" w:sz="8" w:space="0" w:color="054B56" w:themeColor="accent1"/>
          <w:left w:val="single" w:sz="8" w:space="0" w:color="054B56" w:themeColor="accent1"/>
          <w:bottom w:val="single" w:sz="8" w:space="0" w:color="054B56" w:themeColor="accent1"/>
          <w:right w:val="single" w:sz="8" w:space="0" w:color="054B56" w:themeColor="accent1"/>
        </w:tcBorders>
      </w:tcPr>
    </w:tblStylePr>
  </w:style>
  <w:style w:type="paragraph" w:customStyle="1" w:styleId="Table">
    <w:name w:val="Table"/>
    <w:basedOn w:val="Normal"/>
    <w:rsid w:val="00100F20"/>
    <w:pPr>
      <w:spacing w:line="240" w:lineRule="auto"/>
      <w:jc w:val="center"/>
    </w:pPr>
    <w:rPr>
      <w:sz w:val="16"/>
      <w:lang w:val="en"/>
    </w:rPr>
  </w:style>
  <w:style w:type="table" w:styleId="TableGrid1">
    <w:name w:val="Table Grid 1"/>
    <w:basedOn w:val="TableNormal"/>
    <w:uiPriority w:val="99"/>
    <w:semiHidden/>
    <w:unhideWhenUsed/>
    <w:rsid w:val="00740DE0"/>
    <w:pPr>
      <w:spacing w:after="10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paragraph" w:customStyle="1" w:styleId="TaglineFooter">
    <w:name w:val="Tagline Footer"/>
    <w:rsid w:val="0053066E"/>
    <w:pPr>
      <w:spacing w:after="0"/>
      <w:jc w:val="right"/>
    </w:pPr>
    <w:rPr>
      <w:rFonts w:ascii="Arial" w:hAnsi="Arial"/>
      <w:color w:val="F50000"/>
      <w:sz w:val="16"/>
      <w:szCs w:val="16"/>
    </w:rPr>
  </w:style>
  <w:style w:type="paragraph" w:customStyle="1" w:styleId="CParagraphBullets">
    <w:name w:val="C. Paragraph Bullets"/>
    <w:basedOn w:val="ListBullet"/>
    <w:qFormat/>
    <w:rsid w:val="001D2FFA"/>
    <w:pPr>
      <w:spacing w:before="100"/>
    </w:pPr>
  </w:style>
  <w:style w:type="paragraph" w:customStyle="1" w:styleId="1-CoverReportDetailsTitle">
    <w:name w:val="1-Cover: Report Details Title"/>
    <w:link w:val="1-CoverReportDetailsTitleChar"/>
    <w:rsid w:val="00B26C87"/>
    <w:pPr>
      <w:spacing w:before="200" w:after="300"/>
      <w:contextualSpacing/>
    </w:pPr>
    <w:rPr>
      <w:rFonts w:ascii="Arial" w:hAnsi="Arial" w:cs="Arial"/>
      <w:b/>
      <w:color w:val="007299"/>
      <w:szCs w:val="20"/>
    </w:rPr>
  </w:style>
  <w:style w:type="character" w:customStyle="1" w:styleId="1-CoverReportDetailsTitleChar">
    <w:name w:val="1-Cover: Report Details Title Char"/>
    <w:basedOn w:val="ACoverDateChar"/>
    <w:link w:val="1-CoverReportDetailsTitle"/>
    <w:rsid w:val="00B26C87"/>
    <w:rPr>
      <w:rFonts w:ascii="Arial" w:hAnsi="Arial" w:cs="Arial"/>
      <w:b/>
      <w:color w:val="007299"/>
      <w:szCs w:val="20"/>
    </w:rPr>
  </w:style>
  <w:style w:type="character" w:customStyle="1" w:styleId="ACoverDetailsChar">
    <w:name w:val="A. Cover: Details Char"/>
    <w:basedOn w:val="DefaultParagraphFont"/>
    <w:link w:val="ACoverDetails"/>
    <w:uiPriority w:val="1"/>
    <w:qFormat/>
    <w:rsid w:val="00B26C87"/>
  </w:style>
  <w:style w:type="paragraph" w:customStyle="1" w:styleId="ACoverDetails">
    <w:name w:val="A. Cover: Details"/>
    <w:basedOn w:val="Normal"/>
    <w:link w:val="ACoverDetailsChar"/>
    <w:uiPriority w:val="1"/>
    <w:qFormat/>
    <w:rsid w:val="00B26C87"/>
    <w:rPr>
      <w:rFonts w:asciiTheme="minorHAnsi" w:hAnsiTheme="minorHAnsi"/>
      <w:sz w:val="22"/>
    </w:rPr>
  </w:style>
  <w:style w:type="paragraph" w:styleId="TOC4">
    <w:name w:val="toc 4"/>
    <w:basedOn w:val="Normal"/>
    <w:next w:val="Normal"/>
    <w:autoRedefine/>
    <w:uiPriority w:val="39"/>
    <w:unhideWhenUsed/>
    <w:rsid w:val="0081721C"/>
    <w:pPr>
      <w:tabs>
        <w:tab w:val="left" w:leader="dot" w:pos="8640"/>
      </w:tabs>
      <w:spacing w:before="0"/>
      <w:ind w:left="187"/>
    </w:pPr>
    <w:rPr>
      <w:rFonts w:asciiTheme="minorHAnsi" w:hAnsiTheme="minorHAnsi" w:cstheme="minorHAnsi"/>
      <w:sz w:val="22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81721C"/>
    <w:pPr>
      <w:tabs>
        <w:tab w:val="left" w:leader="dot" w:pos="8640"/>
      </w:tabs>
      <w:spacing w:before="0"/>
      <w:ind w:left="187"/>
    </w:pPr>
    <w:rPr>
      <w:rFonts w:asciiTheme="minorHAnsi" w:hAnsiTheme="minorHAnsi" w:cstheme="minorHAnsi"/>
      <w:sz w:val="22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81721C"/>
    <w:pPr>
      <w:tabs>
        <w:tab w:val="left" w:leader="dot" w:pos="8640"/>
      </w:tabs>
      <w:spacing w:before="0"/>
      <w:ind w:left="187"/>
    </w:pPr>
    <w:rPr>
      <w:rFonts w:asciiTheme="minorHAnsi" w:hAnsiTheme="minorHAnsi" w:cstheme="minorHAnsi"/>
      <w:sz w:val="22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81721C"/>
    <w:pPr>
      <w:tabs>
        <w:tab w:val="left" w:leader="dot" w:pos="8640"/>
      </w:tabs>
      <w:spacing w:before="0"/>
      <w:ind w:left="187"/>
    </w:pPr>
    <w:rPr>
      <w:rFonts w:asciiTheme="minorHAnsi" w:hAnsiTheme="minorHAnsi" w:cstheme="minorHAnsi"/>
      <w:sz w:val="22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81721C"/>
    <w:pPr>
      <w:tabs>
        <w:tab w:val="left" w:leader="dot" w:pos="8640"/>
      </w:tabs>
      <w:spacing w:before="0"/>
      <w:ind w:left="187"/>
    </w:pPr>
    <w:rPr>
      <w:rFonts w:asciiTheme="minorHAnsi" w:hAnsiTheme="minorHAnsi" w:cstheme="minorHAnsi"/>
      <w:sz w:val="22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81721C"/>
    <w:pPr>
      <w:tabs>
        <w:tab w:val="left" w:pos="8640"/>
      </w:tabs>
      <w:spacing w:before="0"/>
      <w:ind w:left="187"/>
    </w:pPr>
    <w:rPr>
      <w:rFonts w:asciiTheme="minorHAnsi" w:hAnsiTheme="minorHAnsi" w:cstheme="minorHAnsi"/>
      <w:sz w:val="22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639B3"/>
    <w:pPr>
      <w:spacing w:before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639B3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E639B3"/>
    <w:rPr>
      <w:vertAlign w:val="superscript"/>
    </w:rPr>
  </w:style>
  <w:style w:type="table" w:styleId="LightList-Accent2">
    <w:name w:val="Light List Accent 2"/>
    <w:basedOn w:val="TableNormal"/>
    <w:uiPriority w:val="61"/>
    <w:rsid w:val="00E639B3"/>
    <w:pPr>
      <w:spacing w:after="0" w:line="240" w:lineRule="auto"/>
    </w:pPr>
    <w:tblPr>
      <w:tblStyleRowBandSize w:val="1"/>
      <w:tblStyleColBandSize w:val="1"/>
      <w:tblBorders>
        <w:top w:val="single" w:sz="8" w:space="0" w:color="007299" w:themeColor="accent2"/>
        <w:left w:val="single" w:sz="8" w:space="0" w:color="007299" w:themeColor="accent2"/>
        <w:bottom w:val="single" w:sz="8" w:space="0" w:color="007299" w:themeColor="accent2"/>
        <w:right w:val="single" w:sz="8" w:space="0" w:color="00729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729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99" w:themeColor="accent2"/>
          <w:left w:val="single" w:sz="8" w:space="0" w:color="007299" w:themeColor="accent2"/>
          <w:bottom w:val="single" w:sz="8" w:space="0" w:color="007299" w:themeColor="accent2"/>
          <w:right w:val="single" w:sz="8" w:space="0" w:color="00729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99" w:themeColor="accent2"/>
          <w:left w:val="single" w:sz="8" w:space="0" w:color="007299" w:themeColor="accent2"/>
          <w:bottom w:val="single" w:sz="8" w:space="0" w:color="007299" w:themeColor="accent2"/>
          <w:right w:val="single" w:sz="8" w:space="0" w:color="007299" w:themeColor="accent2"/>
        </w:tcBorders>
      </w:tcPr>
    </w:tblStylePr>
    <w:tblStylePr w:type="band1Horz">
      <w:tblPr/>
      <w:tcPr>
        <w:tcBorders>
          <w:top w:val="single" w:sz="8" w:space="0" w:color="007299" w:themeColor="accent2"/>
          <w:left w:val="single" w:sz="8" w:space="0" w:color="007299" w:themeColor="accent2"/>
          <w:bottom w:val="single" w:sz="8" w:space="0" w:color="007299" w:themeColor="accent2"/>
          <w:right w:val="single" w:sz="8" w:space="0" w:color="007299" w:themeColor="accent2"/>
        </w:tcBorders>
      </w:tcPr>
    </w:tblStylePr>
  </w:style>
  <w:style w:type="paragraph" w:styleId="CommentText">
    <w:name w:val="annotation text"/>
    <w:basedOn w:val="Normal"/>
    <w:link w:val="CommentTextChar"/>
    <w:uiPriority w:val="99"/>
    <w:unhideWhenUsed/>
    <w:rsid w:val="007F38F5"/>
    <w:pPr>
      <w:spacing w:before="200" w:after="200" w:line="240" w:lineRule="auto"/>
      <w:ind w:left="360"/>
      <w:jc w:val="both"/>
    </w:pPr>
    <w:rPr>
      <w:rFonts w:ascii="Georgia" w:eastAsiaTheme="minorEastAsia" w:hAnsi="Georgia"/>
      <w:sz w:val="22"/>
      <w:szCs w:val="20"/>
      <w:lang w:bidi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38F5"/>
    <w:rPr>
      <w:rFonts w:ascii="Georgia" w:eastAsiaTheme="minorEastAsia" w:hAnsi="Georgia"/>
      <w:szCs w:val="20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F38F5"/>
    <w:rPr>
      <w:sz w:val="16"/>
      <w:szCs w:val="16"/>
    </w:rPr>
  </w:style>
  <w:style w:type="character" w:styleId="EndnoteReference">
    <w:name w:val="endnote reference"/>
    <w:rsid w:val="007F38F5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rsid w:val="007F38F5"/>
    <w:pPr>
      <w:spacing w:before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7F38F5"/>
    <w:rPr>
      <w:rFonts w:ascii="Times New Roman" w:eastAsia="Calibri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7F38F5"/>
    <w:pPr>
      <w:spacing w:before="200" w:after="120" w:line="480" w:lineRule="auto"/>
      <w:ind w:left="360"/>
    </w:pPr>
    <w:rPr>
      <w:rFonts w:ascii="Georgia" w:eastAsiaTheme="minorEastAsia" w:hAnsi="Georgia"/>
      <w:sz w:val="22"/>
      <w:szCs w:val="20"/>
      <w:lang w:bidi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F38F5"/>
    <w:rPr>
      <w:rFonts w:ascii="Georgia" w:eastAsiaTheme="minorEastAsia" w:hAnsi="Georgia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1415"/>
    <w:pPr>
      <w:spacing w:before="100" w:after="0"/>
      <w:ind w:left="0"/>
      <w:jc w:val="left"/>
    </w:pPr>
    <w:rPr>
      <w:rFonts w:ascii="Arial" w:eastAsiaTheme="minorHAnsi" w:hAnsi="Arial"/>
      <w:b/>
      <w:bCs/>
      <w:sz w:val="20"/>
      <w:lang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1415"/>
    <w:rPr>
      <w:rFonts w:ascii="Arial" w:eastAsiaTheme="minorEastAsia" w:hAnsi="Arial"/>
      <w:b/>
      <w:bCs/>
      <w:sz w:val="20"/>
      <w:szCs w:val="20"/>
      <w:lang w:bidi="en-US"/>
    </w:rPr>
  </w:style>
  <w:style w:type="table" w:styleId="MediumShading2-Accent2">
    <w:name w:val="Medium Shading 2 Accent 2"/>
    <w:basedOn w:val="TableNormal"/>
    <w:uiPriority w:val="64"/>
    <w:rsid w:val="004B7AB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9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9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9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4">
    <w:name w:val="Light List Accent 4"/>
    <w:basedOn w:val="TableNormal"/>
    <w:uiPriority w:val="61"/>
    <w:rsid w:val="00E50B70"/>
    <w:pPr>
      <w:spacing w:after="0" w:line="240" w:lineRule="auto"/>
    </w:pPr>
    <w:tblPr>
      <w:tblStyleRowBandSize w:val="1"/>
      <w:tblStyleColBandSize w:val="1"/>
      <w:tblBorders>
        <w:top w:val="single" w:sz="8" w:space="0" w:color="92B7BC" w:themeColor="accent4"/>
        <w:left w:val="single" w:sz="8" w:space="0" w:color="92B7BC" w:themeColor="accent4"/>
        <w:bottom w:val="single" w:sz="8" w:space="0" w:color="92B7BC" w:themeColor="accent4"/>
        <w:right w:val="single" w:sz="8" w:space="0" w:color="92B7B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2B7B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2B7BC" w:themeColor="accent4"/>
          <w:left w:val="single" w:sz="8" w:space="0" w:color="92B7BC" w:themeColor="accent4"/>
          <w:bottom w:val="single" w:sz="8" w:space="0" w:color="92B7BC" w:themeColor="accent4"/>
          <w:right w:val="single" w:sz="8" w:space="0" w:color="92B7B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2B7BC" w:themeColor="accent4"/>
          <w:left w:val="single" w:sz="8" w:space="0" w:color="92B7BC" w:themeColor="accent4"/>
          <w:bottom w:val="single" w:sz="8" w:space="0" w:color="92B7BC" w:themeColor="accent4"/>
          <w:right w:val="single" w:sz="8" w:space="0" w:color="92B7BC" w:themeColor="accent4"/>
        </w:tcBorders>
      </w:tcPr>
    </w:tblStylePr>
    <w:tblStylePr w:type="band1Horz">
      <w:tblPr/>
      <w:tcPr>
        <w:tcBorders>
          <w:top w:val="single" w:sz="8" w:space="0" w:color="92B7BC" w:themeColor="accent4"/>
          <w:left w:val="single" w:sz="8" w:space="0" w:color="92B7BC" w:themeColor="accent4"/>
          <w:bottom w:val="single" w:sz="8" w:space="0" w:color="92B7BC" w:themeColor="accent4"/>
          <w:right w:val="single" w:sz="8" w:space="0" w:color="92B7BC" w:themeColor="accent4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0512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1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10926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2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36461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8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5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53811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512861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6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CLEAResult_Business_Theme">
  <a:themeElements>
    <a:clrScheme name="CLEAResult Business Color Palette">
      <a:dk1>
        <a:sysClr val="windowText" lastClr="000000"/>
      </a:dk1>
      <a:lt1>
        <a:sysClr val="window" lastClr="FFFFFF"/>
      </a:lt1>
      <a:dk2>
        <a:srgbClr val="054B56"/>
      </a:dk2>
      <a:lt2>
        <a:srgbClr val="FFFFFF"/>
      </a:lt2>
      <a:accent1>
        <a:srgbClr val="054B56"/>
      </a:accent1>
      <a:accent2>
        <a:srgbClr val="007299"/>
      </a:accent2>
      <a:accent3>
        <a:srgbClr val="404040"/>
      </a:accent3>
      <a:accent4>
        <a:srgbClr val="92B7BC"/>
      </a:accent4>
      <a:accent5>
        <a:srgbClr val="EFE9E5"/>
      </a:accent5>
      <a:accent6>
        <a:srgbClr val="F50000"/>
      </a:accent6>
      <a:hlink>
        <a:srgbClr val="007299"/>
      </a:hlink>
      <a:folHlink>
        <a:srgbClr val="92B7BC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EE8E745E08F4FB3F5EC9E7B386D0A" ma:contentTypeVersion="4" ma:contentTypeDescription="Create a new document." ma:contentTypeScope="" ma:versionID="3565a00e1f338f8a7b2ab7edc541b2dd">
  <xsd:schema xmlns:xsd="http://www.w3.org/2001/XMLSchema" xmlns:xs="http://www.w3.org/2001/XMLSchema" xmlns:p="http://schemas.microsoft.com/office/2006/metadata/properties" xmlns:ns2="26b993a8-8191-43fa-802a-ff96c587740a" targetNamespace="http://schemas.microsoft.com/office/2006/metadata/properties" ma:root="true" ma:fieldsID="a884af3d74b3f05e1ca28719919b67ae" ns2:_="">
    <xsd:import namespace="26b993a8-8191-43fa-802a-ff96c587740a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2:Contact" minOccurs="0"/>
                <xsd:element ref="ns2:Date" minOccurs="0"/>
                <xsd:element ref="ns2:Display_x0020_Or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993a8-8191-43fa-802a-ff96c587740a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internalName="Description0">
      <xsd:simpleType>
        <xsd:restriction base="dms:Note">
          <xsd:maxLength value="255"/>
        </xsd:restriction>
      </xsd:simpleType>
    </xsd:element>
    <xsd:element name="Contact" ma:index="9" nillable="true" ma:displayName="Contact" ma:list="UserInfo" ma:SharePointGroup="0" ma:internalName="Contact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" ma:index="10" nillable="true" ma:displayName="Date" ma:format="DateOnly" ma:internalName="Date">
      <xsd:simpleType>
        <xsd:restriction base="dms:DateTime"/>
      </xsd:simpleType>
    </xsd:element>
    <xsd:element name="Display_x0020_Order" ma:index="11" nillable="true" ma:displayName="Display Order" ma:internalName="Display_x0020_Order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1024D-7FA4-482D-96D6-52C68482ED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b993a8-8191-43fa-802a-ff96c58774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83F42D-7089-419D-9062-B221145B97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B5B168-BE27-4790-9C11-0DEF8D8CA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CLEAResult</Company>
  <LinksUpToDate>false</LinksUpToDate>
  <CharactersWithSpaces>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Kernan</dc:creator>
  <cp:lastModifiedBy>Bashar, Raad</cp:lastModifiedBy>
  <cp:revision>2</cp:revision>
  <cp:lastPrinted>2014-05-22T20:52:00Z</cp:lastPrinted>
  <dcterms:created xsi:type="dcterms:W3CDTF">2017-05-01T18:24:00Z</dcterms:created>
  <dcterms:modified xsi:type="dcterms:W3CDTF">2017-05-01T18:24:00Z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0x010100667EE8E745E08F4FB3F5EC9E7B386D0A</vt:lpwstr>
  </property>
  <property fmtid="{D5CDD505-2E9C-101B-9397-08002B2CF9AE}" pid="3" name="_dlc_DocIdItemGuid">
    <vt:lpwstr>c47ee2b9-abb3-4015-ae38-44c19d369081</vt:lpwstr>
  </property>
  <property fmtid="{D5CDD505-2E9C-101B-9397-08002B2CF9AE}" pid="4" name="_AdHocReviewCycleID">
    <vt:i4>-1950551754</vt:i4>
  </property>
  <property fmtid="{D5CDD505-2E9C-101B-9397-08002B2CF9AE}" pid="5" name="_NewReviewCycle">
    <vt:lpwstr/>
  </property>
  <property fmtid="{D5CDD505-2E9C-101B-9397-08002B2CF9AE}" pid="6" name="_EmailSubject">
    <vt:lpwstr>Calculation Responses</vt:lpwstr>
  </property>
  <property fmtid="{D5CDD505-2E9C-101B-9397-08002B2CF9AE}" pid="7" name="_AuthorEmail">
    <vt:lpwstr>Eli.Caudill@clearesult.com</vt:lpwstr>
  </property>
  <property fmtid="{D5CDD505-2E9C-101B-9397-08002B2CF9AE}" pid="8" name="_AuthorEmailDisplayName">
    <vt:lpwstr>Eli Caudill</vt:lpwstr>
  </property>
  <property fmtid="{D5CDD505-2E9C-101B-9397-08002B2CF9AE}" pid="9" name="_PreviousAdHocReviewCycleID">
    <vt:i4>2099476808</vt:i4>
  </property>
  <property fmtid="{D5CDD505-2E9C-101B-9397-08002B2CF9AE}" pid="10" name="_ReviewingToolsShownOnce">
    <vt:lpwstr/>
  </property>
</Properties>
</file>